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Farley Thomas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BULLISH, UNIT B1, THE GROVE TOO</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ESTERLEY TIBBETTS HIGHWAY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Bullish</w:t>
              </w:r>
            </w:hyperlink>
            <w:r>
              <w:rPr/>
              <w:t xml:space="preserve"> [ </w:t>
            </w:r>
            <w:r>
              <w:rPr>
                <w:rFonts w:ascii="Times;serif" w:hAnsi="Times;serif"/>
                <w:color w:val="0000FF"/>
                <w:sz w:val="24"/>
                <w:shd w:fill="FFFFFF" w:val="clear"/>
              </w:rPr>
              <w:t>BLSH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2"/>
        <w:gridCol w:w="903"/>
        <w:gridCol w:w="774"/>
        <w:gridCol w:w="600"/>
        <w:gridCol w:w="343"/>
        <w:gridCol w:w="1184"/>
        <w:gridCol w:w="439"/>
        <w:gridCol w:w="602"/>
        <w:gridCol w:w="1261"/>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4,893,528</w:t>
            </w:r>
            <w:r>
              <w:rPr>
                <w:rFonts w:ascii="Times;serif" w:hAnsi="Times;serif"/>
                <w:color w:val="008000"/>
                <w:position w:val="7"/>
                <w:sz w:val="16"/>
                <w:sz w:val="20"/>
                <w:shd w:fill="FFFFFF" w:val="clear"/>
              </w:rPr>
              <w:t>(1)(2)</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4,893,528</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59" w:type="dxa"/>
        <w:jc w:val="left"/>
        <w:tblInd w:w="-7" w:type="dxa"/>
        <w:tblLayout w:type="fixed"/>
        <w:tblCellMar>
          <w:top w:w="60" w:type="dxa"/>
          <w:left w:w="60" w:type="dxa"/>
          <w:bottom w:w="60" w:type="dxa"/>
          <w:right w:w="60" w:type="dxa"/>
        </w:tblCellMar>
      </w:tblPr>
      <w:tblGrid>
        <w:gridCol w:w="920"/>
        <w:gridCol w:w="861"/>
        <w:gridCol w:w="891"/>
        <w:gridCol w:w="771"/>
        <w:gridCol w:w="591"/>
        <w:gridCol w:w="300"/>
        <w:gridCol w:w="276"/>
        <w:gridCol w:w="966"/>
        <w:gridCol w:w="906"/>
        <w:gridCol w:w="801"/>
        <w:gridCol w:w="861"/>
        <w:gridCol w:w="1101"/>
        <w:gridCol w:w="801"/>
        <w:gridCol w:w="936"/>
        <w:gridCol w:w="831"/>
        <w:gridCol w:w="846"/>
      </w:tblGrid>
      <w:tr>
        <w:trPr>
          <w:tblHeader w:val="true"/>
        </w:trPr>
        <w:tc>
          <w:tcPr>
            <w:tcW w:w="126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4,893,528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4,893,528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20, 2026, BMC1, a subsidiary of Bullish, merged with and into BMC3 LLC, a subsidiary of Bullish, as part of an internal reorganization. As consideration in the merger, incentive units of BMC1 held by the Reporting Person were cancelled and converted into 4,893,528 ordinary shares of the Issuer. No cash or other consideration was paid or received.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shares received by the Reporting Person are subject to time-based vesting and performance conditions. As of the date of this filing, 3,210,308 of the ordinary shares are vested, and the remaining shares remain subject to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W. Farley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0563" TargetMode="External"/><Relationship Id="rId5" Type="http://schemas.openxmlformats.org/officeDocument/2006/relationships/hyperlink" Target="http://www.sec.gov/cgi-bin/browse-edgar?action=getcompany&amp;CIK=0001872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725</Words>
  <Characters>3920</Characters>
  <CharactersWithSpaces>4562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