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November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001-42797</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BULLISH</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 B1, The Grove Too</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Esterley Tibbetts Highway,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Cayman Islands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5, 2026, Bullish issued a press release titled “Bullish releases October 2026 monthly metrics.” A copy of the press release and the monthly metrics for October 2026 are furnished as Exhibits 99.1 and 99.2, respectively, to this report on Form 6-K.</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700" w:type="dxa"/>
            <w:vAlign w:val="bottom"/>
            <w:gridSpan w:val="3"/>
          </w:tcPr>
          <w:p>
            <w:pPr>
              <w:ind w:left="21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60" w:type="dxa"/>
            <w:vAlign w:val="bottom"/>
            <w:gridSpan w:val="5"/>
          </w:tcPr>
          <w:p>
            <w:pPr>
              <w:ind w:left="420"/>
              <w:spacing w:after="0" w:line="196" w:lineRule="exact"/>
              <w:rPr>
                <w:sz w:val="20"/>
                <w:szCs w:val="20"/>
                <w:color w:val="auto"/>
              </w:rPr>
            </w:pPr>
            <w:r>
              <w:rPr>
                <w:rFonts w:ascii="Times New Roman" w:cs="Times New Roman" w:eastAsia="Times New Roman" w:hAnsi="Times New Roman"/>
                <w:sz w:val="18"/>
                <w:szCs w:val="18"/>
                <w:color w:val="0000EE"/>
              </w:rPr>
              <w:t>Press release of Bullish dated November 5, 2026</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60" w:type="dxa"/>
            <w:vAlign w:val="bottom"/>
            <w:gridSpan w:val="5"/>
          </w:tcPr>
          <w:p>
            <w:pPr>
              <w:ind w:left="420"/>
              <w:spacing w:after="0" w:line="196" w:lineRule="exact"/>
              <w:rPr>
                <w:sz w:val="20"/>
                <w:szCs w:val="20"/>
                <w:color w:val="auto"/>
              </w:rPr>
            </w:pPr>
            <w:r>
              <w:rPr>
                <w:rFonts w:ascii="Times New Roman" w:cs="Times New Roman" w:eastAsia="Times New Roman" w:hAnsi="Times New Roman"/>
                <w:sz w:val="18"/>
                <w:szCs w:val="18"/>
                <w:color w:val="0000EE"/>
              </w:rPr>
              <w:t>Monthly Metrics Report for October 2026</w:t>
            </w:r>
          </w:p>
        </w:tc>
      </w:tr>
      <w:tr>
        <w:trPr>
          <w:trHeight w:val="352"/>
        </w:trPr>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BULLISH</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2"/>
                <w:szCs w:val="12"/>
                <w:color w:val="auto"/>
              </w:rPr>
              <w:t>orres</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 A. Torres</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0920"/>
          </w:cols>
          <w:pgMar w:left="320" w:top="33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Bullish releases October 2026 monthly metrics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11/5/2026</w:t>
      </w:r>
    </w:p>
    <w:p>
      <w:pPr>
        <w:spacing w:after="0" w:line="200" w:lineRule="exact"/>
        <w:rPr>
          <w:sz w:val="20"/>
          <w:szCs w:val="20"/>
          <w:color w:val="auto"/>
        </w:rPr>
      </w:pPr>
    </w:p>
    <w:p>
      <w:pPr>
        <w:spacing w:after="0" w:line="2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Cayman Islands, November 5, 2026 – Bullish (NYSE: BLSH), an institutionally focused global digital asset platform that provides market infrastructure and information services, released its monthly metrics for October 2026 on </w:t>
      </w:r>
      <w:r>
        <w:rPr>
          <w:rFonts w:ascii="Times New Roman" w:cs="Times New Roman" w:eastAsia="Times New Roman" w:hAnsi="Times New Roman"/>
          <w:sz w:val="18"/>
          <w:szCs w:val="18"/>
          <w:b w:val="1"/>
          <w:bCs w:val="1"/>
          <w:color w:val="auto"/>
        </w:rPr>
        <w:t>Thursday, November 5, 2026</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These metrics include trading volume, average trading spread, and measures of volatility for Bitcoin and Ethereum. For definitions and additional information regarding these metrics, please refer to the monthly metrics packages available on </w:t>
      </w:r>
      <w:r>
        <w:rPr>
          <w:rFonts w:ascii="Times New Roman" w:cs="Times New Roman" w:eastAsia="Times New Roman" w:hAnsi="Times New Roman"/>
          <w:sz w:val="18"/>
          <w:szCs w:val="18"/>
          <w:b w:val="1"/>
          <w:bCs w:val="1"/>
          <w:u w:val="single" w:color="auto"/>
          <w:color w:val="auto"/>
        </w:rPr>
        <w:t>investors.bullish.com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Bullish</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w:t>
      </w:r>
      <w:r>
        <w:rPr>
          <w:rFonts w:ascii="Times New Roman" w:cs="Times New Roman" w:eastAsia="Times New Roman" w:hAnsi="Times New Roman"/>
          <w:sz w:val="18"/>
          <w:szCs w:val="18"/>
          <w:u w:val="single" w:color="auto"/>
          <w:color w:val="auto"/>
        </w:rPr>
        <w:t>coindesk.com</w:t>
      </w:r>
      <w:r>
        <w:rPr>
          <w:rFonts w:ascii="Times New Roman" w:cs="Times New Roman" w:eastAsia="Times New Roman" w:hAnsi="Times New Roman"/>
          <w:sz w:val="18"/>
          <w:szCs w:val="18"/>
          <w:color w:val="auto"/>
        </w:rPr>
        <w:t>, a digital media platform that covers news and insights about digital assets, the underlying markets, policy and blockchain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bullish.com</w:t>
      </w:r>
      <w:r>
        <w:rPr>
          <w:rFonts w:ascii="Times New Roman" w:cs="Times New Roman" w:eastAsia="Times New Roman" w:hAnsi="Times New Roman"/>
          <w:sz w:val="18"/>
          <w:szCs w:val="18"/>
          <w:color w:val="auto"/>
        </w:rPr>
        <w:t xml:space="preserve"> and follow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Websites to Distribute Material Company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use the Bullish Investor Relations website (</w:t>
      </w:r>
      <w:r>
        <w:rPr>
          <w:rFonts w:ascii="Times New Roman" w:cs="Times New Roman" w:eastAsia="Times New Roman" w:hAnsi="Times New Roman"/>
          <w:sz w:val="18"/>
          <w:szCs w:val="18"/>
          <w:u w:val="single" w:color="auto"/>
          <w:color w:val="auto"/>
        </w:rPr>
        <w:t>investors.bullish.com</w:t>
      </w:r>
      <w:r>
        <w:rPr>
          <w:rFonts w:ascii="Times New Roman" w:cs="Times New Roman" w:eastAsia="Times New Roman" w:hAnsi="Times New Roman"/>
          <w:sz w:val="18"/>
          <w:szCs w:val="18"/>
          <w:color w:val="auto"/>
        </w:rPr>
        <w:t>) and our X account (</w:t>
      </w:r>
      <w:r>
        <w:rPr>
          <w:rFonts w:ascii="Times New Roman" w:cs="Times New Roman" w:eastAsia="Times New Roman" w:hAnsi="Times New Roman"/>
          <w:sz w:val="18"/>
          <w:szCs w:val="18"/>
          <w:u w:val="single" w:color="auto"/>
          <w:color w:val="auto"/>
        </w:rPr>
        <w:t>x.com/bullish</w:t>
      </w:r>
      <w:r>
        <w:rPr>
          <w:rFonts w:ascii="Times New Roman" w:cs="Times New Roman" w:eastAsia="Times New Roman" w:hAnsi="Times New Roman"/>
          <w:sz w:val="18"/>
          <w:szCs w:val="18"/>
          <w:color w:val="auto"/>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b w:val="1"/>
          <w:bCs w:val="1"/>
          <w:u w:val="single" w:color="auto"/>
          <w:color w:val="auto"/>
        </w:rPr>
        <w:t>media@bullish.com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b w:val="1"/>
          <w:bCs w:val="1"/>
          <w:u w:val="single" w:color="auto"/>
          <w:color w:val="auto"/>
        </w:rPr>
        <w:t>investors@bullish.com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Bullish</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Bullish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Monthly Metrics Report for October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43050" cy="36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(B - in billions)</w:t>
            </w:r>
          </w:p>
        </w:tc>
        <w:tc>
          <w:tcPr>
            <w:tcW w:w="4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Jan</w:t>
            </w:r>
          </w:p>
        </w:tc>
        <w:tc>
          <w:tcPr>
            <w:tcW w:w="4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Feb</w:t>
            </w:r>
          </w:p>
        </w:tc>
        <w:tc>
          <w:tcPr>
            <w:tcW w:w="46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Mar</w:t>
            </w:r>
          </w:p>
        </w:tc>
        <w:tc>
          <w:tcPr>
            <w:tcW w:w="4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Apr</w:t>
            </w:r>
          </w:p>
        </w:tc>
        <w:tc>
          <w:tcPr>
            <w:tcW w:w="4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May</w:t>
            </w:r>
          </w:p>
        </w:tc>
        <w:tc>
          <w:tcPr>
            <w:tcW w:w="5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Jun</w:t>
            </w:r>
          </w:p>
        </w:tc>
        <w:tc>
          <w:tcPr>
            <w:tcW w:w="4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Jul</w:t>
            </w:r>
          </w:p>
        </w:tc>
        <w:tc>
          <w:tcPr>
            <w:tcW w:w="4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Aug</w:t>
            </w:r>
          </w:p>
        </w:tc>
        <w:tc>
          <w:tcPr>
            <w:tcW w:w="3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Sep</w:t>
            </w:r>
          </w:p>
        </w:tc>
        <w:tc>
          <w:tcPr>
            <w:tcW w:w="4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Oct</w:t>
            </w:r>
          </w:p>
        </w:tc>
        <w:tc>
          <w:tcPr>
            <w:tcW w:w="4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Nov</w:t>
            </w: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Dec</w:t>
            </w:r>
          </w:p>
        </w:tc>
        <w:tc>
          <w:tcPr>
            <w:tcW w:w="340" w:type="dxa"/>
            <w:vAlign w:val="bottom"/>
          </w:tcPr>
          <w:p>
            <w:pPr>
              <w:spacing w:after="0"/>
              <w:rPr>
                <w:sz w:val="12"/>
                <w:szCs w:val="12"/>
                <w:color w:val="auto"/>
              </w:rPr>
            </w:pPr>
          </w:p>
        </w:tc>
        <w:tc>
          <w:tcPr>
            <w:tcW w:w="4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Jan</w:t>
            </w:r>
          </w:p>
        </w:tc>
        <w:tc>
          <w:tcPr>
            <w:tcW w:w="3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Feb</w:t>
            </w: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Mar</w:t>
            </w:r>
          </w:p>
        </w:tc>
        <w:tc>
          <w:tcPr>
            <w:tcW w:w="4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Apr</w:t>
            </w:r>
          </w:p>
        </w:tc>
        <w:tc>
          <w:tcPr>
            <w:tcW w:w="4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May</w:t>
            </w:r>
          </w:p>
        </w:tc>
        <w:tc>
          <w:tcPr>
            <w:tcW w:w="4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June</w:t>
            </w:r>
          </w:p>
        </w:tc>
        <w:tc>
          <w:tcPr>
            <w:tcW w:w="3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July</w:t>
            </w:r>
          </w:p>
        </w:tc>
        <w:tc>
          <w:tcPr>
            <w:tcW w:w="4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Aug</w:t>
            </w:r>
          </w:p>
        </w:tc>
        <w:tc>
          <w:tcPr>
            <w:tcW w:w="3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Sep</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Oct</w:t>
            </w:r>
          </w:p>
        </w:tc>
        <w:tc>
          <w:tcPr>
            <w:tcW w:w="0" w:type="dxa"/>
            <w:vAlign w:val="bottom"/>
          </w:tcPr>
          <w:p>
            <w:pPr>
              <w:spacing w:after="0"/>
              <w:rPr>
                <w:sz w:val="1"/>
                <w:szCs w:val="1"/>
                <w:color w:val="auto"/>
              </w:rPr>
            </w:pPr>
          </w:p>
        </w:tc>
      </w:tr>
      <w:tr>
        <w:trPr>
          <w:trHeight w:val="117"/>
        </w:trPr>
        <w:tc>
          <w:tcPr>
            <w:tcW w:w="19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Trading Volume ($B)</w:t>
            </w: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Spot - BTC</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34.6</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30.9</w:t>
            </w:r>
          </w:p>
        </w:tc>
        <w:tc>
          <w:tcPr>
            <w:tcW w:w="4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43.2</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39.2</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32.8</w:t>
            </w:r>
          </w:p>
        </w:tc>
        <w:tc>
          <w:tcPr>
            <w:tcW w:w="5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20.8</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18.2</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38.2</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38.4</w:t>
            </w:r>
          </w:p>
        </w:tc>
        <w:tc>
          <w:tcPr>
            <w:tcW w:w="3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25.9</w:t>
            </w:r>
          </w:p>
        </w:tc>
        <w:tc>
          <w:tcPr>
            <w:tcW w:w="760" w:type="dxa"/>
            <w:vAlign w:val="bottom"/>
            <w:gridSpan w:val="2"/>
            <w:shd w:val="clear" w:color="auto" w:fill="CCEEFF"/>
          </w:tcPr>
          <w:p>
            <w:pPr>
              <w:jc w:val="center"/>
              <w:ind w:left="268"/>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41.8</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29.1</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20.9</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26.9</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3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17.6</w:t>
            </w:r>
          </w:p>
        </w:tc>
        <w:tc>
          <w:tcPr>
            <w:tcW w:w="0" w:type="dxa"/>
            <w:vAlign w:val="bottom"/>
          </w:tcPr>
          <w:p>
            <w:pPr>
              <w:spacing w:after="0"/>
              <w:rPr>
                <w:sz w:val="1"/>
                <w:szCs w:val="1"/>
                <w:color w:val="auto"/>
              </w:rPr>
            </w:pPr>
          </w:p>
        </w:tc>
      </w:tr>
      <w:tr>
        <w:trPr>
          <w:trHeight w:val="148"/>
        </w:trPr>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Spot - ETH</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18.3</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10.9</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12.0</w:t>
            </w: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11.1</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12.8</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76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12.9</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Spot - Stablecoin</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19.4</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13.3</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10.3</w:t>
            </w: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760" w:type="dxa"/>
            <w:vAlign w:val="bottom"/>
            <w:gridSpan w:val="2"/>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w w:val="97"/>
              </w:rPr>
              <w:t>11.2</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19.0</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13.2</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10.8</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Spot - Other</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76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Spot</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77.1</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74.8</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77.7</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65.5</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57.6</w:t>
            </w: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39.9</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48.8</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44.3</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37.3</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77.5</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75.3</w:t>
            </w: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52.2</w:t>
            </w:r>
          </w:p>
        </w:tc>
        <w:tc>
          <w:tcPr>
            <w:tcW w:w="76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45.4</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77.4</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52.9</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38.0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45.5</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29.1</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35.8</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42.2</w:t>
            </w:r>
          </w:p>
        </w:tc>
        <w:tc>
          <w:tcPr>
            <w:tcW w:w="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34.6</w:t>
            </w:r>
          </w:p>
        </w:tc>
        <w:tc>
          <w:tcPr>
            <w:tcW w:w="0" w:type="dxa"/>
            <w:vAlign w:val="bottom"/>
          </w:tcPr>
          <w:p>
            <w:pPr>
              <w:spacing w:after="0"/>
              <w:rPr>
                <w:sz w:val="1"/>
                <w:szCs w:val="1"/>
                <w:color w:val="auto"/>
              </w:rPr>
            </w:pPr>
          </w:p>
        </w:tc>
      </w:tr>
      <w:tr>
        <w:trPr>
          <w:trHeight w:val="142"/>
        </w:trPr>
        <w:tc>
          <w:tcPr>
            <w:tcW w:w="1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Options</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0.0</w:t>
            </w: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3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3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Perpetual</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76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19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Trading Volume</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83.7</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82.5</w:t>
            </w: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85.7</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72.3</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63.4</w:t>
            </w: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44.0</w:t>
            </w: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53.8</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48.8</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39.6</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80.5</w:t>
            </w: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80.8</w:t>
            </w: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61.1</w:t>
            </w:r>
          </w:p>
        </w:tc>
        <w:tc>
          <w:tcPr>
            <w:tcW w:w="3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52.2</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84.1</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60.4</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46.9</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32.9</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50.9</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30.7</w:t>
            </w: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42.5</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48.6</w:t>
            </w: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37.7</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Trading Spread (bps)</w:t>
            </w: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Spot</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2.14</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1.97</w:t>
            </w:r>
          </w:p>
        </w:tc>
        <w:tc>
          <w:tcPr>
            <w:tcW w:w="4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1.65</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1.55</w:t>
            </w:r>
          </w:p>
        </w:tc>
        <w:tc>
          <w:tcPr>
            <w:tcW w:w="5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2.55</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1.96</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1.75</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3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760" w:type="dxa"/>
            <w:vAlign w:val="bottom"/>
            <w:gridSpan w:val="2"/>
            <w:shd w:val="clear" w:color="auto" w:fill="CCEEFF"/>
          </w:tcPr>
          <w:p>
            <w:pPr>
              <w:jc w:val="center"/>
              <w:ind w:left="268"/>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2.22</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2.01</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2.05</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2.40</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2.84</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2.71</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2.41</w:t>
            </w:r>
          </w:p>
        </w:tc>
        <w:tc>
          <w:tcPr>
            <w:tcW w:w="3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2.58</w:t>
            </w:r>
          </w:p>
        </w:tc>
        <w:tc>
          <w:tcPr>
            <w:tcW w:w="0" w:type="dxa"/>
            <w:vAlign w:val="bottom"/>
          </w:tcPr>
          <w:p>
            <w:pPr>
              <w:spacing w:after="0"/>
              <w:rPr>
                <w:sz w:val="1"/>
                <w:szCs w:val="1"/>
                <w:color w:val="auto"/>
              </w:rPr>
            </w:pPr>
          </w:p>
        </w:tc>
      </w:tr>
      <w:tr>
        <w:trPr>
          <w:trHeight w:val="149"/>
        </w:trPr>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0.93</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76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2.42</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1.86</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0.59</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0.50</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Perpetual</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(0.86)</w:t>
            </w: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(0.80)</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(0.65)</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(0.13) (0.30)</w:t>
            </w:r>
          </w:p>
        </w:tc>
        <w:tc>
          <w:tcPr>
            <w:tcW w:w="76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(0.61)</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0.37</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0.09</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(0.32)</w:t>
            </w:r>
          </w:p>
        </w:tc>
        <w:tc>
          <w:tcPr>
            <w:tcW w:w="3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3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0.80</w:t>
            </w:r>
          </w:p>
        </w:tc>
        <w:tc>
          <w:tcPr>
            <w:tcW w:w="0" w:type="dxa"/>
            <w:vAlign w:val="bottom"/>
          </w:tcPr>
          <w:p>
            <w:pPr>
              <w:spacing w:after="0"/>
              <w:rPr>
                <w:sz w:val="1"/>
                <w:szCs w:val="1"/>
                <w:color w:val="auto"/>
              </w:rPr>
            </w:pPr>
          </w:p>
        </w:tc>
      </w:tr>
      <w:tr>
        <w:trPr>
          <w:trHeight w:val="142"/>
        </w:trPr>
        <w:tc>
          <w:tcPr>
            <w:tcW w:w="19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Average Trading Spread</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1.90</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1.65</w:t>
            </w: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1.47</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1.36</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1.32</w:t>
            </w: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1.32</w:t>
            </w: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1.52</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2.25</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1.86</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1.59</w:t>
            </w: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1.85</w:t>
            </w: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1.71</w:t>
            </w:r>
          </w:p>
        </w:tc>
        <w:tc>
          <w:tcPr>
            <w:tcW w:w="3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1.67</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2.16</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1.86</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1.95</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2.23</w:t>
            </w: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2.56</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2.62</w:t>
            </w: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2.13</w:t>
            </w: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2.14</w:t>
            </w: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2.43</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Monthly Average Volatility</w:t>
            </w: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BTC</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4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5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3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760" w:type="dxa"/>
            <w:vAlign w:val="bottom"/>
            <w:gridSpan w:val="2"/>
            <w:shd w:val="clear" w:color="auto" w:fill="CCEEFF"/>
          </w:tcPr>
          <w:p>
            <w:pPr>
              <w:jc w:val="center"/>
              <w:ind w:left="268"/>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6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 48%</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4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 31%</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ETH</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76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46%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 60%</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40%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&amp; Disclosures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monthly metrics package provides certain limited purpose monthly performance results of Bullish. This information is presented without commentary and should be read together with our most recent quarterly and annual results and our filings with the U.S. Securities and Exchange Commission (SEC), which are available on our Investor Relations website at </w:t>
      </w:r>
      <w:r>
        <w:rPr>
          <w:rFonts w:ascii="Times New Roman" w:cs="Times New Roman" w:eastAsia="Times New Roman" w:hAnsi="Times New Roman"/>
          <w:sz w:val="18"/>
          <w:szCs w:val="18"/>
          <w:u w:val="single" w:color="auto"/>
          <w:color w:val="auto"/>
        </w:rPr>
        <w:t>investors.bullish.com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information provided is unaudited and the information for the months in the most recent fiscal quarter is preliminary, based on our estimates and subject to completion of our financial closing procedures. Final results for the quarter, as reported in our SEC filings, might vary from the information provided in this monthly metrics package.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Bullish expects to release monthly metrics packages for the prior month’s performance after the end of each month.</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use our Investor Relations website (investors.bullish.com) and our X account (x.com/bullish) to publicize information relevant to investors, including information that may be deemed material, in addition to filings we make with the SEC and press releases. We encourage investors to regularly review the information posted on our website and X account in addition to our SEC filings and press releases to be informed of the latest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Trading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the notional value of trades, i.e. the product of the quantity of assets transacted and the trade price at the time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executed. The quantity represents the total U.S. dollar equivalent value of matched trades transacted between a buyer and seller through our platform during the period of measurement.</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Average Trading Spread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total commissions earned from transactions on the Bullish Exchange for the period, expressed as a percentage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volume for the period. Management reviews this metric, which reflects the cost of trading on the Bullish Exchange, changes in fair value of perpetual futures, and rebates, for insight into the average revenue generated per unit of trading volume on our platform.</w:t>
      </w:r>
    </w:p>
    <w:p>
      <w:pPr>
        <w:spacing w:after="0" w:line="17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Volatility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calculated using 1-minute price intervals from CoinDesk Data's Adaptive Diversified Liquidity Index for BTC and ETH. We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daily volatility by measuring the standard deviation of these minute-by-minute price changes, which provides a more granular view of price fluctuations. This daily figure is then converted to an annualized volatility by multiplying it by the square root of 365, a standard practice for making risk metrics comparable over a one-year period.</w:t>
      </w:r>
    </w:p>
    <w:sectPr>
      <w:pgSz w:w="11900" w:h="16838" w:orient="portrait"/>
      <w:cols w:equalWidth="0" w:num="1">
        <w:col w:w="11160"/>
      </w:cols>
      <w:pgMar w:left="320" w:top="33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2026-11-05T05:46:47Z</dcterms:created>
  <dcterms:modified xsi:type="dcterms:W3CDTF">2026-11-05T05:46:47Z</dcterms:modified>
</cp:coreProperties>
</file>