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blsh20260908_6k.htm"/>
      <w:bookmarkStart w:id="1" w:name="ksblsh20260908_6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6-K</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Report of Foreign Private Issuer</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Rule 13a-16 or 15d-16 of</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For the month of </w:t>
      </w:r>
      <w:r>
        <w:rPr>
          <w:rFonts w:ascii="Times New Roman" w:hAnsi="Times New Roman"/>
          <w:b/>
          <w:caps w:val="false"/>
          <w:smallCaps w:val="false"/>
          <w:sz w:val="20"/>
        </w:rPr>
        <w:t>October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Commission File No. </w:t>
      </w:r>
      <w:r>
        <w:rPr>
          <w:rFonts w:ascii="Times New Roman" w:hAnsi="Times New Roman"/>
          <w:b/>
          <w:caps w:val="false"/>
          <w:smallCaps w:val="false"/>
          <w:sz w:val="20"/>
        </w:rPr>
        <w:t>001-42797</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BULLISH</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 B1, The Grove Too</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Esterley Tibbetts Highway,</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Grand Cayman, Cayman Islands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INFORMATION CONTAINED IN THIS REPORT ON FORM 6-K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October 6</w:t>
      </w:r>
      <w:r>
        <w:rPr>
          <w:rFonts w:ascii="Times New Roman" w:hAnsi="Times New Roman"/>
          <w:caps w:val="false"/>
          <w:smallCaps w:val="false"/>
          <w:color w:val="000000"/>
          <w:sz w:val="20"/>
        </w:rPr>
        <w:t>, 2026,</w:t>
      </w:r>
      <w:r>
        <w:rPr>
          <w:rFonts w:ascii="Times New Roman" w:hAnsi="Times New Roman"/>
          <w:caps w:val="false"/>
          <w:smallCaps w:val="false"/>
          <w:sz w:val="20"/>
        </w:rPr>
        <w:t xml:space="preserve"> Bullish issued a press release titled “Bullish releases September 2026 monthly metrics.” A copy of the press release and the monthly metrics for September 2026 are furnished as Exhibits 99.1 and 99.2, respectively, to this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INDEX TO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980"/>
        <w:gridCol w:w="3740"/>
      </w:tblGrid>
      <w:tr>
        <w:trPr/>
        <w:tc>
          <w:tcPr>
            <w:tcW w:w="9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Exhibit No.</w:t>
            </w:r>
          </w:p>
        </w:tc>
        <w:tc>
          <w:tcPr>
            <w:tcW w:w="37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Description</w:t>
            </w:r>
          </w:p>
        </w:tc>
      </w:tr>
      <w:tr>
        <w:trPr/>
        <w:tc>
          <w:tcPr>
            <w:tcW w:w="980" w:type="dxa"/>
            <w:tcBorders/>
            <w:vAlign w:val="center"/>
          </w:tcPr>
          <w:p>
            <w:pPr>
              <w:pStyle w:val="TableContents"/>
              <w:bidi w:val="0"/>
              <w:spacing w:before="0" w:after="0"/>
              <w:ind w:left="0" w:right="0" w:hanging="0"/>
              <w:jc w:val="left"/>
              <w:rPr/>
            </w:pPr>
            <w:hyperlink w:anchor="ex_1013592.htm">
              <w:r>
                <w:rPr>
                  <w:rStyle w:val="InternetLink"/>
                  <w:rFonts w:ascii="Times New Roman;Times;serif" w:hAnsi="Times New Roman;Times;serif"/>
                  <w:caps w:val="false"/>
                  <w:smallCaps w:val="false"/>
                  <w:sz w:val="20"/>
                </w:rPr>
                <w:t>99.1</w:t>
              </w:r>
            </w:hyperlink>
          </w:p>
        </w:tc>
        <w:tc>
          <w:tcPr>
            <w:tcW w:w="3740" w:type="dxa"/>
            <w:tcBorders/>
            <w:vAlign w:val="center"/>
          </w:tcPr>
          <w:p>
            <w:pPr>
              <w:pStyle w:val="TableContents"/>
              <w:bidi w:val="0"/>
              <w:spacing w:before="0" w:after="0"/>
              <w:ind w:left="0" w:right="0" w:hanging="0"/>
              <w:jc w:val="both"/>
              <w:rPr/>
            </w:pPr>
            <w:hyperlink w:anchor="ex_1013592.htm">
              <w:r>
                <w:rPr>
                  <w:rStyle w:val="InternetLink"/>
                  <w:rFonts w:ascii="Times New Roman;Times;serif" w:hAnsi="Times New Roman;Times;serif"/>
                  <w:caps w:val="false"/>
                  <w:smallCaps w:val="false"/>
                  <w:sz w:val="20"/>
                </w:rPr>
                <w:t>Press release of Bullish dated October 6, 2026</w:t>
              </w:r>
            </w:hyperlink>
          </w:p>
        </w:tc>
      </w:tr>
      <w:tr>
        <w:trPr/>
        <w:tc>
          <w:tcPr>
            <w:tcW w:w="980" w:type="dxa"/>
            <w:tcBorders/>
            <w:vAlign w:val="center"/>
          </w:tcPr>
          <w:p>
            <w:pPr>
              <w:pStyle w:val="TableContents"/>
              <w:bidi w:val="0"/>
              <w:spacing w:before="0" w:after="0"/>
              <w:ind w:left="0" w:right="0" w:hanging="0"/>
              <w:jc w:val="left"/>
              <w:rPr/>
            </w:pPr>
            <w:hyperlink w:anchor="ex_1013593.htm">
              <w:r>
                <w:rPr>
                  <w:rStyle w:val="InternetLink"/>
                  <w:rFonts w:ascii="Times New Roman;Times;serif" w:hAnsi="Times New Roman;Times;serif"/>
                  <w:caps w:val="false"/>
                  <w:smallCaps w:val="false"/>
                  <w:sz w:val="20"/>
                </w:rPr>
                <w:t>99.2</w:t>
              </w:r>
            </w:hyperlink>
          </w:p>
        </w:tc>
        <w:tc>
          <w:tcPr>
            <w:tcW w:w="3740" w:type="dxa"/>
            <w:tcBorders/>
            <w:vAlign w:val="center"/>
          </w:tcPr>
          <w:p>
            <w:pPr>
              <w:pStyle w:val="TableContents"/>
              <w:bidi w:val="0"/>
              <w:spacing w:before="0" w:after="0"/>
              <w:ind w:left="0" w:right="0" w:hanging="0"/>
              <w:jc w:val="left"/>
              <w:rPr/>
            </w:pPr>
            <w:hyperlink w:anchor="ex_1013593.htm">
              <w:r>
                <w:rPr>
                  <w:rStyle w:val="InternetLink"/>
                  <w:rFonts w:ascii="Times New Roman;Times;serif" w:hAnsi="Times New Roman;Times;serif"/>
                  <w:caps w:val="false"/>
                  <w:smallCaps w:val="false"/>
                  <w:sz w:val="20"/>
                </w:rPr>
                <w:t>Monthly Metrics Report for September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260" w:type="dxa"/>
        <w:jc w:val="left"/>
        <w:tblInd w:w="0" w:type="dxa"/>
        <w:tblLayout w:type="fixed"/>
        <w:tblCellMar>
          <w:top w:w="0" w:type="dxa"/>
          <w:left w:w="0" w:type="dxa"/>
          <w:bottom w:w="0" w:type="dxa"/>
          <w:right w:w="0" w:type="dxa"/>
        </w:tblCellMar>
      </w:tblPr>
      <w:tblGrid>
        <w:gridCol w:w="1805"/>
        <w:gridCol w:w="320"/>
        <w:gridCol w:w="2075"/>
        <w:gridCol w:w="60"/>
      </w:tblGrid>
      <w:tr>
        <w:trPr/>
        <w:tc>
          <w:tcPr>
            <w:tcW w:w="1805" w:type="dxa"/>
            <w:tcBorders/>
            <w:vAlign w:val="center"/>
          </w:tcPr>
          <w:p>
            <w:pPr>
              <w:pStyle w:val="TableContents"/>
              <w:bidi w:val="0"/>
              <w:spacing w:before="0" w:after="0"/>
              <w:ind w:left="0" w:right="0" w:hanging="0"/>
              <w:jc w:val="left"/>
              <w:rPr/>
            </w:pPr>
            <w:r>
              <w:rPr/>
              <w:t> </w:t>
            </w:r>
          </w:p>
        </w:tc>
        <w:tc>
          <w:tcPr>
            <w:tcW w:w="2395"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BULLISH</w:t>
            </w:r>
          </w:p>
        </w:tc>
        <w:tc>
          <w:tcPr>
            <w:tcW w:w="60" w:type="dxa"/>
            <w:tcBorders/>
            <w:vAlign w:val="center"/>
          </w:tcPr>
          <w:p>
            <w:pPr>
              <w:pStyle w:val="TableContents"/>
              <w:bidi w:val="0"/>
              <w:spacing w:before="0" w:after="0"/>
              <w:ind w:left="0" w:right="0" w:hanging="0"/>
              <w:jc w:val="left"/>
              <w:rPr/>
            </w:pPr>
            <w:r>
              <w:rPr/>
              <w:t> </w:t>
            </w:r>
          </w:p>
        </w:tc>
      </w:tr>
      <w:tr>
        <w:trPr/>
        <w:tc>
          <w:tcPr>
            <w:tcW w:w="180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07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8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r>
              <w:rPr>
                <w:rFonts w:ascii="Times New Roman" w:hAnsi="Times New Roman"/>
                <w:caps w:val="false"/>
                <w:smallCaps w:val="false"/>
                <w:color w:val="FF0000"/>
                <w:sz w:val="20"/>
              </w:rPr>
              <w:t> </w:t>
            </w:r>
            <w:r>
              <w:rPr>
                <w:rFonts w:ascii="Times New Roman" w:hAnsi="Times New Roman"/>
                <w:caps w:val="false"/>
                <w:smallCaps w:val="false"/>
                <w:color w:val="000000"/>
                <w:sz w:val="20"/>
              </w:rPr>
              <w:t xml:space="preserve">October 6, </w:t>
            </w:r>
            <w:r>
              <w:rPr>
                <w:rFonts w:ascii="Times New Roman" w:hAnsi="Times New Roman"/>
                <w:caps w:val="false"/>
                <w:smallCaps w:val="false"/>
                <w:sz w:val="20"/>
              </w:rPr>
              <w:t>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0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mallCaps/>
                <w:sz w:val="20"/>
              </w:rPr>
            </w:pPr>
            <w:r>
              <w:rPr>
                <w:rFonts w:ascii="Times New Roman" w:hAnsi="Times New Roman"/>
                <w:smallCaps/>
                <w:sz w:val="20"/>
              </w:rPr>
              <w:t>/s/ Jose A. Torres</w:t>
            </w:r>
          </w:p>
        </w:tc>
        <w:tc>
          <w:tcPr>
            <w:tcW w:w="60" w:type="dxa"/>
            <w:tcBorders/>
            <w:vAlign w:val="center"/>
          </w:tcPr>
          <w:p>
            <w:pPr>
              <w:pStyle w:val="TableContents"/>
              <w:bidi w:val="0"/>
              <w:spacing w:before="0" w:after="0"/>
              <w:ind w:left="0" w:right="0" w:hanging="0"/>
              <w:jc w:val="left"/>
              <w:rPr/>
            </w:pPr>
            <w:r>
              <w:rPr/>
              <w:t> </w:t>
            </w:r>
          </w:p>
        </w:tc>
      </w:tr>
      <w:tr>
        <w:trPr/>
        <w:tc>
          <w:tcPr>
            <w:tcW w:w="180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0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Jose A. Torres</w:t>
            </w:r>
          </w:p>
        </w:tc>
        <w:tc>
          <w:tcPr>
            <w:tcW w:w="60" w:type="dxa"/>
            <w:tcBorders/>
            <w:vAlign w:val="center"/>
          </w:tcPr>
          <w:p>
            <w:pPr>
              <w:pStyle w:val="TableContents"/>
              <w:bidi w:val="0"/>
              <w:spacing w:before="0" w:after="0"/>
              <w:ind w:left="0" w:right="0" w:hanging="0"/>
              <w:jc w:val="left"/>
              <w:rPr/>
            </w:pPr>
            <w:r>
              <w:rPr/>
              <w:t> </w:t>
            </w:r>
          </w:p>
        </w:tc>
      </w:tr>
      <w:tr>
        <w:trPr/>
        <w:tc>
          <w:tcPr>
            <w:tcW w:w="180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0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Accounting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bookmarkStart w:id="2" w:name="ex_1013592.htm"/>
      <w:bookmarkStart w:id="3" w:name="ksex_1013592"/>
      <w:bookmarkEnd w:id="2"/>
      <w:bookmarkEnd w:id="3"/>
      <w:r>
        <w:rPr>
          <w:rFonts w:ascii="Times New Roman" w:hAnsi="Times New Roman"/>
          <w:b/>
          <w:sz w:val="20"/>
        </w:rPr>
        <w:t>Exhibit 99.1</w:t>
      </w:r>
      <w:r>
        <w:rPr>
          <w:rFonts w:ascii="Times New Roman" w:hAnsi="Times New Roman"/>
          <w:sz w:val="20"/>
        </w:rPr>
        <w:t xml:space="preserve"> </w:t>
      </w:r>
      <w:r>
        <w:br w:type="page"/>
      </w:r>
    </w:p>
    <w:p>
      <w:pPr>
        <w:pStyle w:val="TextBody"/>
        <w:bidi w:val="0"/>
        <w:spacing w:before="0" w:after="0"/>
        <w:ind w:left="0" w:right="0" w:hanging="0"/>
        <w:jc w:val="right"/>
        <w:rPr/>
      </w:pPr>
      <w:r>
        <w:rPr/>
        <w:t> </w:t>
      </w:r>
    </w:p>
    <w:p>
      <w:pPr>
        <w:pStyle w:val="TextBody"/>
        <w:bidi w:val="0"/>
        <w:spacing w:before="0" w:after="0"/>
        <w:ind w:left="0" w:right="0" w:hanging="0"/>
        <w:jc w:val="left"/>
        <w:rPr>
          <w:rFonts w:ascii="Times New Roman" w:hAnsi="Times New Roman"/>
          <w:caps w:val="false"/>
          <w:smallCaps w:val="false"/>
          <w:sz w:val="36"/>
        </w:rPr>
      </w:pPr>
      <w:r>
        <w:rPr>
          <w:rFonts w:ascii="Times New Roman" w:hAnsi="Times New Roman"/>
          <w:caps w:val="false"/>
          <w:smallCaps w:val="false"/>
          <w:sz w:val="36"/>
        </w:rPr>
        <w:t>Bullish releases September 2026 monthly metrics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color w:val="000000"/>
          <w:sz w:val="20"/>
          <w:shd w:fill="FFFFFF" w:val="clear"/>
        </w:rPr>
        <w:t>10/6/</w:t>
      </w:r>
      <w:r>
        <w:rPr>
          <w:rFonts w:ascii="Times New Roman" w:hAnsi="Times New Roman"/>
          <w:caps w:val="false"/>
          <w:smallCaps w:val="false"/>
          <w:sz w:val="20"/>
          <w:shd w:fill="FFFFFF" w:val="clear"/>
        </w:rPr>
        <w:t>2026</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shd w:fill="FFFFFF" w:val="clear"/>
        </w:rPr>
        <w:t>Cayman Islands, October 6</w:t>
      </w:r>
      <w:r>
        <w:rPr>
          <w:rFonts w:ascii="Times New Roman" w:hAnsi="Times New Roman"/>
          <w:caps w:val="false"/>
          <w:smallCaps w:val="false"/>
          <w:color w:val="000000"/>
          <w:sz w:val="20"/>
          <w:shd w:fill="FFFFFF" w:val="clear"/>
        </w:rPr>
        <w:t>,</w:t>
      </w:r>
      <w:r>
        <w:rPr>
          <w:rFonts w:ascii="Times New Roman" w:hAnsi="Times New Roman"/>
          <w:caps w:val="false"/>
          <w:smallCaps w:val="false"/>
          <w:sz w:val="20"/>
          <w:shd w:fill="FFFFFF" w:val="clear"/>
        </w:rPr>
        <w:t xml:space="preserve"> 2026</w:t>
      </w:r>
      <w:r>
        <w:rPr>
          <w:rFonts w:ascii="Times New Roman" w:hAnsi="Times New Roman"/>
          <w:caps w:val="false"/>
          <w:smallCaps w:val="false"/>
          <w:sz w:val="20"/>
        </w:rPr>
        <w:t xml:space="preserve"> – Bullish (NYSE: BLSH), an institutionally focused global digital asset platform that provides market infrastructure and information services, released its monthly metrics for September 2026 on </w:t>
      </w:r>
      <w:r>
        <w:rPr>
          <w:rFonts w:ascii="Times New Roman" w:hAnsi="Times New Roman"/>
          <w:b/>
          <w:caps w:val="false"/>
          <w:smallCaps w:val="false"/>
          <w:sz w:val="20"/>
        </w:rPr>
        <w:t>Tuesday</w:t>
      </w:r>
      <w:r>
        <w:rPr>
          <w:rFonts w:ascii="Times New Roman" w:hAnsi="Times New Roman"/>
          <w:b/>
          <w:caps w:val="false"/>
          <w:smallCaps w:val="false"/>
          <w:color w:val="000000"/>
          <w:sz w:val="20"/>
        </w:rPr>
        <w:t>, October 6, 2026</w:t>
      </w:r>
      <w:r>
        <w:rPr>
          <w:rFonts w:ascii="Times New Roman" w:hAnsi="Times New Roman"/>
          <w:caps w:val="false"/>
          <w:smallCaps w:val="false"/>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These metrics include trading volume, average trading spread, and measures of volatility for Bitcoin and Ethereum. For definitions and additional information regarding these metrics, please refer to the monthly metrics packages available on </w:t>
      </w:r>
      <w:r>
        <w:rPr>
          <w:rFonts w:ascii="Times New Roman" w:hAnsi="Times New Roman"/>
          <w:b/>
          <w:caps w:val="false"/>
          <w:smallCaps w:val="false"/>
          <w:sz w:val="20"/>
          <w:u w:val="single"/>
        </w:rPr>
        <w:t>investors.bullish.com</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Bullish</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Bullish (NYSE: BLSH) is an institutionally focused global digital asset platform that provides regulated market infrastructure and information services. This includes Bullish Exchange – an institutionally focused digital assets spot and derivatives exchange, integrating a high-performance central limit order book matching engine with automated market making to provide deep and predictable liquidity. Bullish Europe is regulated under MiCAR as a crypto asset service provider offering spot trading and custody services for digital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Bullish is the parent company of CoinDesk, a leading provider of digital asset media and information services. CoinDesk's offerings include: CoinDesk Indices – a collection of tradable proprietary and single-asset benchmarks and indices that track the performance of digital assets for global institutions in the digital assets and traditional finance industries; CoinDesk Data – a broad suite of digital asset market data and analytics, providing real-time insights into prices, trends and market dynamics; and CoinDesk Insights – a digital asset media and events provider and operator of </w:t>
      </w:r>
      <w:r>
        <w:rPr>
          <w:rFonts w:ascii="Times New Roman" w:hAnsi="Times New Roman"/>
          <w:caps w:val="false"/>
          <w:smallCaps w:val="false"/>
          <w:sz w:val="20"/>
          <w:u w:val="single"/>
        </w:rPr>
        <w:t>coindesk.com</w:t>
      </w:r>
      <w:r>
        <w:rPr>
          <w:rFonts w:ascii="Times New Roman" w:hAnsi="Times New Roman"/>
          <w:caps w:val="false"/>
          <w:smallCaps w:val="false"/>
          <w:sz w:val="20"/>
        </w:rPr>
        <w:t>, a digital media platform that covers news and insights about digital assets, the underlying markets, policy and blockchain technology.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For more information, please visit </w:t>
      </w:r>
      <w:r>
        <w:rPr>
          <w:rFonts w:ascii="Times New Roman" w:hAnsi="Times New Roman"/>
          <w:caps w:val="false"/>
          <w:smallCaps w:val="false"/>
          <w:sz w:val="20"/>
          <w:u w:val="single"/>
        </w:rPr>
        <w:t>bullish.com</w:t>
      </w:r>
      <w:r>
        <w:rPr>
          <w:rFonts w:ascii="Times New Roman" w:hAnsi="Times New Roman"/>
          <w:caps w:val="false"/>
          <w:smallCaps w:val="false"/>
          <w:sz w:val="20"/>
        </w:rPr>
        <w:t xml:space="preserve"> and follow </w:t>
      </w:r>
      <w:r>
        <w:rPr>
          <w:rFonts w:ascii="Times New Roman" w:hAnsi="Times New Roman"/>
          <w:caps w:val="false"/>
          <w:smallCaps w:val="false"/>
          <w:sz w:val="20"/>
          <w:u w:val="single"/>
        </w:rPr>
        <w:t>LinkedIn</w:t>
      </w:r>
      <w:r>
        <w:rPr>
          <w:rFonts w:ascii="Times New Roman" w:hAnsi="Times New Roman"/>
          <w:caps w:val="false"/>
          <w:smallCaps w:val="false"/>
          <w:sz w:val="20"/>
        </w:rPr>
        <w:t xml:space="preserve"> and </w:t>
      </w:r>
      <w:r>
        <w:rPr>
          <w:rFonts w:ascii="Times New Roman" w:hAnsi="Times New Roman"/>
          <w:caps w:val="false"/>
          <w:smallCaps w:val="false"/>
          <w:sz w:val="20"/>
          <w:u w:val="single"/>
        </w:rPr>
        <w:t>X</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Use of Websites to Distribute Material Company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use the Bullish Investor Relations website (</w:t>
      </w:r>
      <w:r>
        <w:rPr>
          <w:rFonts w:ascii="Times New Roman" w:hAnsi="Times New Roman"/>
          <w:caps w:val="false"/>
          <w:smallCaps w:val="false"/>
          <w:sz w:val="20"/>
          <w:u w:val="single"/>
        </w:rPr>
        <w:t>investors.bullish.com</w:t>
      </w:r>
      <w:r>
        <w:rPr>
          <w:rFonts w:ascii="Times New Roman" w:hAnsi="Times New Roman"/>
          <w:caps w:val="false"/>
          <w:smallCaps w:val="false"/>
          <w:sz w:val="20"/>
        </w:rPr>
        <w:t>) and our X account (</w:t>
      </w:r>
      <w:r>
        <w:rPr>
          <w:rFonts w:ascii="Times New Roman" w:hAnsi="Times New Roman"/>
          <w:caps w:val="false"/>
          <w:smallCaps w:val="false"/>
          <w:sz w:val="20"/>
          <w:u w:val="single"/>
        </w:rPr>
        <w:t>x.com/bullish</w:t>
      </w:r>
      <w:r>
        <w:rPr>
          <w:rFonts w:ascii="Times New Roman" w:hAnsi="Times New Roman"/>
          <w:caps w:val="false"/>
          <w:smallCaps w:val="false"/>
          <w:sz w:val="20"/>
        </w:rPr>
        <w:t>) to publicize information relevant to investors, including information that may be deemed material, in addition to filings we make with the U.S. Securities and Exchange Commission (SEC) and press releases. We encourage investors to regularly review the information posted on our website and X account in addition to our SEC filings and press releases to be informed of the latest developments.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Contacts</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Media: </w:t>
      </w:r>
      <w:r>
        <w:rPr>
          <w:rFonts w:ascii="Times New Roman" w:hAnsi="Times New Roman"/>
          <w:b/>
          <w:caps w:val="false"/>
          <w:smallCaps w:val="false"/>
          <w:sz w:val="20"/>
          <w:u w:val="single"/>
        </w:rPr>
        <w:t>media@bullish.com</w:t>
      </w:r>
      <w:r>
        <w:rPr>
          <w:rFonts w:ascii="Times New Roman" w:hAnsi="Times New Roman"/>
          <w:caps w:val="false"/>
          <w:smallCaps w:val="false"/>
          <w:sz w:val="20"/>
          <w:u w:val="single"/>
        </w:rPr>
        <w:t> </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Investor Relations: </w:t>
      </w:r>
      <w:r>
        <w:rPr>
          <w:rFonts w:ascii="Times New Roman" w:hAnsi="Times New Roman"/>
          <w:b/>
          <w:caps w:val="false"/>
          <w:smallCaps w:val="false"/>
          <w:sz w:val="20"/>
          <w:u w:val="single"/>
        </w:rPr>
        <w:t>investors@bullish.com</w:t>
      </w:r>
      <w:r>
        <w:rPr>
          <w:rFonts w:ascii="Times New Roman" w:hAnsi="Times New Roman"/>
          <w:caps w:val="false"/>
          <w:smallCaps w:val="false"/>
          <w:sz w:val="20"/>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Source: Bullish</w:t>
      </w:r>
      <w:r>
        <w:rPr>
          <w:rFonts w:ascii="Times New Roman" w:hAnsi="Times New Roman"/>
          <w:caps w:val="false"/>
          <w:smallCaps w:val="false"/>
          <w:sz w:val="20"/>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bookmarkStart w:id="4" w:name="ex_1013593.htm"/>
      <w:bookmarkStart w:id="5" w:name="ksex_1013593"/>
      <w:bookmarkEnd w:id="4"/>
      <w:bookmarkEnd w:id="5"/>
      <w:r>
        <w:rPr>
          <w:rFonts w:ascii="Times New Roman" w:hAnsi="Times New Roman"/>
          <w:b/>
          <w:caps w:val="false"/>
          <w:smallCaps w:val="false"/>
          <w:sz w:val="20"/>
        </w:rPr>
        <w:t>Exhibit 99.2</w:t>
      </w:r>
      <w:r>
        <w:rPr>
          <w:rFonts w:ascii="Times New Roman" w:hAnsi="Times New Roman"/>
          <w:caps w:val="false"/>
          <w:smallCaps w:val="false"/>
          <w:sz w:val="20"/>
        </w:rPr>
        <w:t xml:space="preserve">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Bullish</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Monthly Metrics Report for </w:t>
      </w:r>
      <w:bookmarkStart w:id="6" w:name="led888968F202610021790947643829"/>
      <w:bookmarkEnd w:id="6"/>
      <w:r>
        <w:rPr>
          <w:rFonts w:ascii="Times New Roman" w:hAnsi="Times New Roman"/>
          <w:b/>
          <w:caps w:val="false"/>
          <w:smallCaps w:val="false"/>
          <w:sz w:val="20"/>
        </w:rPr>
        <w:t>September 2026</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drawing>
          <wp:inline distT="0" distB="0" distL="0" distR="0">
            <wp:extent cx="1714500"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409575"/>
                    </a:xfrm>
                    <a:prstGeom prst="rect">
                      <a:avLst/>
                    </a:prstGeom>
                  </pic:spPr>
                </pic:pic>
              </a:graphicData>
            </a:graphic>
          </wp:inline>
        </w:drawing>
      </w: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 w:name="led-table-a9ce20c0-3617-4a23-85eb-2436ed"/>
      <w:bookmarkStart w:id="8" w:name="led-table-a9ce20c0-3617-4a23-85eb-2436ed"/>
      <w:bookmarkEnd w:id="8"/>
    </w:p>
    <w:tbl>
      <w:tblPr>
        <w:tblW w:w="10205" w:type="dxa"/>
        <w:jc w:val="left"/>
        <w:tblInd w:w="0" w:type="dxa"/>
        <w:tblLayout w:type="fixed"/>
        <w:tblCellMar>
          <w:top w:w="0" w:type="dxa"/>
          <w:left w:w="0" w:type="dxa"/>
          <w:bottom w:w="0" w:type="dxa"/>
          <w:right w:w="0" w:type="dxa"/>
        </w:tblCellMar>
      </w:tblPr>
      <w:tblGrid>
        <w:gridCol w:w="942"/>
        <w:gridCol w:w="399"/>
        <w:gridCol w:w="60"/>
        <w:gridCol w:w="399"/>
        <w:gridCol w:w="60"/>
        <w:gridCol w:w="399"/>
        <w:gridCol w:w="60"/>
        <w:gridCol w:w="399"/>
        <w:gridCol w:w="60"/>
        <w:gridCol w:w="399"/>
        <w:gridCol w:w="60"/>
        <w:gridCol w:w="399"/>
        <w:gridCol w:w="60"/>
        <w:gridCol w:w="399"/>
        <w:gridCol w:w="60"/>
        <w:gridCol w:w="399"/>
        <w:gridCol w:w="60"/>
        <w:gridCol w:w="335"/>
        <w:gridCol w:w="60"/>
        <w:gridCol w:w="399"/>
        <w:gridCol w:w="60"/>
        <w:gridCol w:w="399"/>
        <w:gridCol w:w="60"/>
        <w:gridCol w:w="399"/>
        <w:gridCol w:w="60"/>
        <w:gridCol w:w="399"/>
        <w:gridCol w:w="60"/>
        <w:gridCol w:w="335"/>
        <w:gridCol w:w="60"/>
        <w:gridCol w:w="335"/>
        <w:gridCol w:w="60"/>
        <w:gridCol w:w="399"/>
        <w:gridCol w:w="60"/>
        <w:gridCol w:w="399"/>
        <w:gridCol w:w="60"/>
        <w:gridCol w:w="399"/>
        <w:gridCol w:w="60"/>
        <w:gridCol w:w="335"/>
        <w:gridCol w:w="60"/>
        <w:gridCol w:w="399"/>
        <w:gridCol w:w="60"/>
        <w:gridCol w:w="339"/>
      </w:tblGrid>
      <w:tr>
        <w:trPr/>
        <w:tc>
          <w:tcPr>
            <w:tcW w:w="942" w:type="dxa"/>
            <w:tcBorders/>
            <w:shd w:fill="FFFFFF" w:val="clear"/>
            <w:vAlign w:val="center"/>
          </w:tcPr>
          <w:p>
            <w:pPr>
              <w:pStyle w:val="TableContents"/>
              <w:bidi w:val="0"/>
              <w:spacing w:before="0" w:after="0"/>
              <w:ind w:left="0" w:right="0" w:hanging="0"/>
              <w:jc w:val="left"/>
              <w:rPr/>
            </w:pPr>
            <w:r>
              <w:rPr/>
              <w:t> </w:t>
            </w:r>
          </w:p>
        </w:tc>
        <w:tc>
          <w:tcPr>
            <w:tcW w:w="5384" w:type="dxa"/>
            <w:gridSpan w:val="23"/>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3819" w:type="dxa"/>
            <w:gridSpan w:val="17"/>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2026</w:t>
            </w:r>
          </w:p>
        </w:tc>
      </w:tr>
      <w:tr>
        <w:trPr/>
        <w:tc>
          <w:tcPr>
            <w:tcW w:w="942" w:type="dxa"/>
            <w:tcBorders/>
            <w:shd w:fill="FFFFFF" w:val="cle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Jan</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Feb</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Mar</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Apr</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May</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Jun</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Jul</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Aug</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Sep</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Oct</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Nov</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Dec</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Jan</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Feb</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Mar</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Apr</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May</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June</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July</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Aug</w:t>
            </w:r>
          </w:p>
        </w:tc>
        <w:tc>
          <w:tcPr>
            <w:tcW w:w="60" w:type="dxa"/>
            <w:tcBorders/>
            <w:shd w:fill="FFFFFF" w:val="clear"/>
            <w:vAlign w:val="center"/>
          </w:tcPr>
          <w:p>
            <w:pPr>
              <w:pStyle w:val="TableContents"/>
              <w:bidi w:val="0"/>
              <w:spacing w:before="0" w:after="0"/>
              <w:ind w:left="0" w:right="0" w:hanging="0"/>
              <w:jc w:val="left"/>
              <w:rPr/>
            </w:pPr>
            <w:r>
              <w:rPr/>
              <w:t> </w:t>
            </w:r>
          </w:p>
        </w:tc>
        <w:tc>
          <w:tcPr>
            <w:tcW w:w="33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Sep</w:t>
            </w:r>
          </w:p>
        </w:tc>
      </w:tr>
      <w:tr>
        <w:trPr/>
        <w:tc>
          <w:tcPr>
            <w:tcW w:w="942" w:type="dxa"/>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6"/>
              </w:rPr>
            </w:pPr>
            <w:r>
              <w:rPr>
                <w:rFonts w:ascii="Times New Roman" w:hAnsi="Times New Roman"/>
                <w:i/>
                <w:caps w:val="false"/>
                <w:smallCaps w:val="false"/>
                <w:sz w:val="16"/>
              </w:rPr>
              <w:t>(B - in billions)</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39" w:type="dxa"/>
            <w:tcBorders/>
            <w:shd w:fill="FFFFFF" w:val="clear"/>
            <w:vAlign w:val="center"/>
          </w:tcPr>
          <w:p>
            <w:pPr>
              <w:pStyle w:val="TableContents"/>
              <w:bidi w:val="0"/>
              <w:spacing w:before="0" w:after="0"/>
              <w:ind w:left="0" w:right="0" w:hanging="0"/>
              <w:jc w:val="left"/>
              <w:rPr/>
            </w:pPr>
            <w:r>
              <w:rPr/>
              <w:t> </w:t>
            </w:r>
          </w:p>
        </w:tc>
      </w:tr>
      <w:tr>
        <w:trPr/>
        <w:tc>
          <w:tcPr>
            <w:tcW w:w="9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Trading Volume ($B)</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94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Spot - BTC</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34.6</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30.9</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43.2</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39.2</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32.8</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19.9</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20.8</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18.2</w:t>
            </w:r>
          </w:p>
        </w:tc>
        <w:tc>
          <w:tcPr>
            <w:tcW w:w="60"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16.4</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38.2</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38.4</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25.9</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22.5</w:t>
            </w:r>
          </w:p>
        </w:tc>
        <w:tc>
          <w:tcPr>
            <w:tcW w:w="60"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41.8</w:t>
            </w:r>
          </w:p>
        </w:tc>
        <w:tc>
          <w:tcPr>
            <w:tcW w:w="60"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29.1</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20.9</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16.8</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26.9</w:t>
            </w:r>
          </w:p>
        </w:tc>
        <w:tc>
          <w:tcPr>
            <w:tcW w:w="60"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16.7</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17.6</w:t>
            </w:r>
          </w:p>
        </w:tc>
        <w:tc>
          <w:tcPr>
            <w:tcW w:w="60" w:type="dxa"/>
            <w:tcBorders/>
            <w:shd w:fill="CCEEFF" w:val="clear"/>
            <w:vAlign w:val="center"/>
          </w:tcPr>
          <w:p>
            <w:pPr>
              <w:pStyle w:val="TableContents"/>
              <w:bidi w:val="0"/>
              <w:spacing w:before="0" w:after="0"/>
              <w:ind w:left="0" w:right="0" w:hanging="0"/>
              <w:jc w:val="left"/>
              <w:rPr/>
            </w:pPr>
            <w:r>
              <w:rPr/>
              <w:t> </w:t>
            </w:r>
          </w:p>
        </w:tc>
        <w:tc>
          <w:tcPr>
            <w:tcW w:w="33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19.9</w:t>
            </w:r>
          </w:p>
        </w:tc>
      </w:tr>
      <w:tr>
        <w:trPr/>
        <w:tc>
          <w:tcPr>
            <w:tcW w:w="94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Spot - ETH</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18.3</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19.2</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14.9</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10.9</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12.0</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9.5</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11.1</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12.8</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8.8</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15.1</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14.1</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9.6</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8.4</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12.9</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8.0</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5.4</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3.4</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4.9</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3.0</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3.7</w:t>
            </w:r>
          </w:p>
        </w:tc>
        <w:tc>
          <w:tcPr>
            <w:tcW w:w="60" w:type="dxa"/>
            <w:tcBorders/>
            <w:shd w:fill="FFFFFF" w:val="clear"/>
            <w:vAlign w:val="center"/>
          </w:tcPr>
          <w:p>
            <w:pPr>
              <w:pStyle w:val="TableContents"/>
              <w:bidi w:val="0"/>
              <w:spacing w:before="0" w:after="0"/>
              <w:ind w:left="0" w:right="0" w:hanging="0"/>
              <w:jc w:val="left"/>
              <w:rPr/>
            </w:pPr>
            <w:r>
              <w:rPr/>
              <w:t> </w:t>
            </w:r>
          </w:p>
        </w:tc>
        <w:tc>
          <w:tcPr>
            <w:tcW w:w="33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4.5</w:t>
            </w:r>
          </w:p>
        </w:tc>
      </w:tr>
      <w:tr>
        <w:trPr/>
        <w:tc>
          <w:tcPr>
            <w:tcW w:w="94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Spot - Stablecoin</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19.4</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20.9</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17.0</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13.3</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10.3</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8.1</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12.9</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8.6</w:t>
            </w:r>
          </w:p>
        </w:tc>
        <w:tc>
          <w:tcPr>
            <w:tcW w:w="60"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8.1</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19.6</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18.4</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13.8</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11.2</w:t>
            </w:r>
          </w:p>
        </w:tc>
        <w:tc>
          <w:tcPr>
            <w:tcW w:w="60"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19.0</w:t>
            </w:r>
          </w:p>
        </w:tc>
        <w:tc>
          <w:tcPr>
            <w:tcW w:w="60"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13.2</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9.6</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7.4</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10.8</w:t>
            </w:r>
          </w:p>
        </w:tc>
        <w:tc>
          <w:tcPr>
            <w:tcW w:w="60"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7.3</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7.9</w:t>
            </w:r>
          </w:p>
        </w:tc>
        <w:tc>
          <w:tcPr>
            <w:tcW w:w="60" w:type="dxa"/>
            <w:tcBorders/>
            <w:shd w:fill="CCEEFF" w:val="clear"/>
            <w:vAlign w:val="center"/>
          </w:tcPr>
          <w:p>
            <w:pPr>
              <w:pStyle w:val="TableContents"/>
              <w:bidi w:val="0"/>
              <w:spacing w:before="0" w:after="0"/>
              <w:ind w:left="0" w:right="0" w:hanging="0"/>
              <w:jc w:val="left"/>
              <w:rPr/>
            </w:pPr>
            <w:r>
              <w:rPr/>
              <w:t> </w:t>
            </w:r>
          </w:p>
        </w:tc>
        <w:tc>
          <w:tcPr>
            <w:tcW w:w="33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9.5</w:t>
            </w:r>
          </w:p>
        </w:tc>
      </w:tr>
      <w:tr>
        <w:trPr/>
        <w:tc>
          <w:tcPr>
            <w:tcW w:w="94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Spot - Other</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4.8</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3.8</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2.7</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2.2</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2.6</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2.4</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4.0</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4.6</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4.1</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4.6</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4.4</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2.9</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3.4</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3.7</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2.7</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2.1</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2.5</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2.9</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2.2</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6.6</w:t>
            </w:r>
          </w:p>
        </w:tc>
        <w:tc>
          <w:tcPr>
            <w:tcW w:w="60" w:type="dxa"/>
            <w:tcBorders/>
            <w:shd w:fill="FFFFFF" w:val="clear"/>
            <w:vAlign w:val="center"/>
          </w:tcPr>
          <w:p>
            <w:pPr>
              <w:pStyle w:val="TableContents"/>
              <w:bidi w:val="0"/>
              <w:spacing w:before="0" w:after="0"/>
              <w:ind w:left="0" w:right="0" w:hanging="0"/>
              <w:jc w:val="left"/>
              <w:rPr/>
            </w:pPr>
            <w:r>
              <w:rPr/>
              <w:t> </w:t>
            </w:r>
          </w:p>
        </w:tc>
        <w:tc>
          <w:tcPr>
            <w:tcW w:w="33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8.4</w:t>
            </w:r>
          </w:p>
        </w:tc>
      </w:tr>
      <w:tr>
        <w:trPr/>
        <w:tc>
          <w:tcPr>
            <w:tcW w:w="9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Total Spot</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77.1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74.8</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77.7</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65.5</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57.6</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39.9</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48.8</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44.3</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37.3</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77.5</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75.3</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52.2</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45.4</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77.4</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52.9</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38.0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30.0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45.5</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29.1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35.8</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42.2</w:t>
            </w:r>
          </w:p>
        </w:tc>
      </w:tr>
      <w:tr>
        <w:trPr/>
        <w:tc>
          <w:tcPr>
            <w:tcW w:w="94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Options</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0.0</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0.0</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0.0</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2.8</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6.2</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4.8</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3.6</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3.2</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5.6</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0.9</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2.3</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0.2</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4.7</w:t>
            </w:r>
          </w:p>
        </w:tc>
        <w:tc>
          <w:tcPr>
            <w:tcW w:w="60" w:type="dxa"/>
            <w:tcBorders/>
            <w:shd w:fill="FFFFFF" w:val="clear"/>
            <w:vAlign w:val="center"/>
          </w:tcPr>
          <w:p>
            <w:pPr>
              <w:pStyle w:val="TableContents"/>
              <w:bidi w:val="0"/>
              <w:spacing w:before="0" w:after="0"/>
              <w:ind w:left="0" w:right="0" w:hanging="0"/>
              <w:jc w:val="left"/>
              <w:rPr/>
            </w:pPr>
            <w:r>
              <w:rPr/>
              <w:t> </w:t>
            </w:r>
          </w:p>
        </w:tc>
        <w:tc>
          <w:tcPr>
            <w:tcW w:w="33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4.1</w:t>
            </w:r>
          </w:p>
        </w:tc>
      </w:tr>
      <w:tr>
        <w:trPr/>
        <w:tc>
          <w:tcPr>
            <w:tcW w:w="9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Perpetual</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6.6</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7.8</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8.0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6.8</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5.8</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4.1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5.0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4.6</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2.2</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3.0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2.7</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2.6</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3.1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4.4</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3.4</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3.1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1.5</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2.3</w:t>
            </w:r>
          </w:p>
        </w:tc>
      </w:tr>
      <w:tr>
        <w:trPr/>
        <w:tc>
          <w:tcPr>
            <w:tcW w:w="9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Total Trading Volume</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83.7</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82.5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85.7</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72.3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63.4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44.0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53.8</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48.8</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39.6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80.5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80.8</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61.1</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52.2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84.1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60.4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46.9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32.9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50.9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30.7</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42.5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48.6</w:t>
            </w:r>
          </w:p>
        </w:tc>
      </w:tr>
      <w:tr>
        <w:trPr/>
        <w:tc>
          <w:tcPr>
            <w:tcW w:w="942"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39" w:type="dxa"/>
            <w:tcBorders/>
            <w:shd w:fill="CCEEFF" w:val="clear"/>
            <w:vAlign w:val="center"/>
          </w:tcPr>
          <w:p>
            <w:pPr>
              <w:pStyle w:val="TableContents"/>
              <w:bidi w:val="0"/>
              <w:spacing w:before="0" w:after="0"/>
              <w:ind w:left="0" w:right="0" w:hanging="0"/>
              <w:jc w:val="left"/>
              <w:rPr/>
            </w:pPr>
            <w:r>
              <w:rPr/>
              <w:t> </w:t>
            </w:r>
          </w:p>
        </w:tc>
      </w:tr>
      <w:tr>
        <w:trPr/>
        <w:tc>
          <w:tcPr>
            <w:tcW w:w="9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Average Trading Spread (bps)</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94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Spot</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2.14</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1.97</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1.87</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1.65</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1.55</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1.58</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1.76</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2.55</w:t>
            </w:r>
          </w:p>
        </w:tc>
        <w:tc>
          <w:tcPr>
            <w:tcW w:w="60"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1.96</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1.75</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1.94</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1.82</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1.74</w:t>
            </w:r>
          </w:p>
        </w:tc>
        <w:tc>
          <w:tcPr>
            <w:tcW w:w="60"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2.22</w:t>
            </w:r>
          </w:p>
        </w:tc>
        <w:tc>
          <w:tcPr>
            <w:tcW w:w="60"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2.01</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2.05</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2.40</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2.84</w:t>
            </w:r>
          </w:p>
        </w:tc>
        <w:tc>
          <w:tcPr>
            <w:tcW w:w="60"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2.71</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2.53</w:t>
            </w:r>
          </w:p>
        </w:tc>
        <w:tc>
          <w:tcPr>
            <w:tcW w:w="60" w:type="dxa"/>
            <w:tcBorders/>
            <w:shd w:fill="CCEEFF" w:val="clear"/>
            <w:vAlign w:val="center"/>
          </w:tcPr>
          <w:p>
            <w:pPr>
              <w:pStyle w:val="TableContents"/>
              <w:bidi w:val="0"/>
              <w:spacing w:before="0" w:after="0"/>
              <w:ind w:left="0" w:right="0" w:hanging="0"/>
              <w:jc w:val="left"/>
              <w:rPr/>
            </w:pPr>
            <w:r>
              <w:rPr/>
              <w:t> </w:t>
            </w:r>
          </w:p>
        </w:tc>
        <w:tc>
          <w:tcPr>
            <w:tcW w:w="33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2.41</w:t>
            </w:r>
          </w:p>
        </w:tc>
      </w:tr>
      <w:tr>
        <w:trPr/>
        <w:tc>
          <w:tcPr>
            <w:tcW w:w="94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Options</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1.00</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0.93</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1.29</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1.34</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1.66</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1.95</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2.42</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1.86</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2.50</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1.65</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0.59</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1.09</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0.14</w:t>
            </w:r>
          </w:p>
        </w:tc>
        <w:tc>
          <w:tcPr>
            <w:tcW w:w="60" w:type="dxa"/>
            <w:tcBorders/>
            <w:shd w:fill="FFFFFF" w:val="clear"/>
            <w:vAlign w:val="center"/>
          </w:tcPr>
          <w:p>
            <w:pPr>
              <w:pStyle w:val="TableContents"/>
              <w:bidi w:val="0"/>
              <w:spacing w:before="0" w:after="0"/>
              <w:ind w:left="0" w:right="0" w:hanging="0"/>
              <w:jc w:val="left"/>
              <w:rPr/>
            </w:pPr>
            <w:r>
              <w:rPr/>
              <w:t> </w:t>
            </w:r>
          </w:p>
        </w:tc>
        <w:tc>
          <w:tcPr>
            <w:tcW w:w="33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0.40</w:t>
            </w:r>
          </w:p>
        </w:tc>
      </w:tr>
      <w:tr>
        <w:trPr/>
        <w:tc>
          <w:tcPr>
            <w:tcW w:w="9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Perpetual</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(1.06)</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(1.41)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(2.38)</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(1.47)</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(0.86)</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(1.22)</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(0.80)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(0.65)</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0.21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(2.67)</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(0.13)</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(0.30)</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(0.61)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0.37</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0.09</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(0.08)</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(0.12)</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(0.14)</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1.21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(0.32)</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0.38</w:t>
            </w:r>
          </w:p>
        </w:tc>
      </w:tr>
      <w:tr>
        <w:trPr/>
        <w:tc>
          <w:tcPr>
            <w:tcW w:w="9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Average Trading Spread</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1.90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1.65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1.47</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1.36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1.32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1.32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1.52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2.25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1.86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1.59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1.85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1.71</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1.67</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2.16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1.86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1.95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2.23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2.56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2.62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2.13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2.14</w:t>
            </w:r>
          </w:p>
        </w:tc>
      </w:tr>
      <w:tr>
        <w:trPr/>
        <w:tc>
          <w:tcPr>
            <w:tcW w:w="942"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39" w:type="dxa"/>
            <w:tcBorders/>
            <w:shd w:fill="CCEEFF" w:val="clear"/>
            <w:vAlign w:val="center"/>
          </w:tcPr>
          <w:p>
            <w:pPr>
              <w:pStyle w:val="TableContents"/>
              <w:bidi w:val="0"/>
              <w:spacing w:before="0" w:after="0"/>
              <w:ind w:left="0" w:right="0" w:hanging="0"/>
              <w:jc w:val="left"/>
              <w:rPr/>
            </w:pPr>
            <w:r>
              <w:rPr/>
              <w:t> </w:t>
            </w:r>
          </w:p>
        </w:tc>
      </w:tr>
      <w:tr>
        <w:trPr/>
        <w:tc>
          <w:tcPr>
            <w:tcW w:w="9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Monthly Average Volatility</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94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BTC</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48%</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44%</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50%</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44%</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33%</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28%</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27%</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28%</w:t>
            </w:r>
          </w:p>
        </w:tc>
        <w:tc>
          <w:tcPr>
            <w:tcW w:w="60"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23%</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38%</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45%</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39%</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33%</w:t>
            </w:r>
          </w:p>
        </w:tc>
        <w:tc>
          <w:tcPr>
            <w:tcW w:w="60"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61%</w:t>
            </w:r>
          </w:p>
        </w:tc>
        <w:tc>
          <w:tcPr>
            <w:tcW w:w="60"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48%</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35%</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28%</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47%</w:t>
            </w:r>
          </w:p>
        </w:tc>
        <w:tc>
          <w:tcPr>
            <w:tcW w:w="60"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32%</w:t>
            </w:r>
          </w:p>
        </w:tc>
        <w:tc>
          <w:tcPr>
            <w:tcW w:w="60" w:type="dxa"/>
            <w:tcBorders/>
            <w:shd w:fill="CCEEFF" w:val="clear"/>
            <w:vAlign w:val="center"/>
          </w:tcPr>
          <w:p>
            <w:pPr>
              <w:pStyle w:val="TableContents"/>
              <w:bidi w:val="0"/>
              <w:spacing w:before="0" w:after="0"/>
              <w:ind w:left="0" w:right="0" w:hanging="0"/>
              <w:jc w:val="left"/>
              <w:rPr/>
            </w:pPr>
            <w:r>
              <w:rPr/>
              <w:t> </w:t>
            </w:r>
          </w:p>
        </w:tc>
        <w:tc>
          <w:tcPr>
            <w:tcW w:w="39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30%</w:t>
            </w:r>
          </w:p>
        </w:tc>
        <w:tc>
          <w:tcPr>
            <w:tcW w:w="60" w:type="dxa"/>
            <w:tcBorders/>
            <w:shd w:fill="CCEEFF" w:val="clear"/>
            <w:vAlign w:val="center"/>
          </w:tcPr>
          <w:p>
            <w:pPr>
              <w:pStyle w:val="TableContents"/>
              <w:bidi w:val="0"/>
              <w:spacing w:before="0" w:after="0"/>
              <w:ind w:left="0" w:right="0" w:hanging="0"/>
              <w:jc w:val="left"/>
              <w:rPr/>
            </w:pPr>
            <w:r>
              <w:rPr/>
              <w:t> </w:t>
            </w:r>
          </w:p>
        </w:tc>
        <w:tc>
          <w:tcPr>
            <w:tcW w:w="339"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32%</w:t>
            </w:r>
          </w:p>
        </w:tc>
      </w:tr>
      <w:tr>
        <w:trPr/>
        <w:tc>
          <w:tcPr>
            <w:tcW w:w="94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ETH</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60%</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78%</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69%</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70%</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67%</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54%</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54%</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60%</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42%</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58%</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68%</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53%</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46%</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82%</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60%</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44%</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36%</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67%</w:t>
            </w:r>
          </w:p>
        </w:tc>
        <w:tc>
          <w:tcPr>
            <w:tcW w:w="60" w:type="dxa"/>
            <w:tcBorders/>
            <w:shd w:fill="FFFFFF" w:val="clear"/>
            <w:vAlign w:val="center"/>
          </w:tcPr>
          <w:p>
            <w:pPr>
              <w:pStyle w:val="TableContents"/>
              <w:bidi w:val="0"/>
              <w:spacing w:before="0" w:after="0"/>
              <w:ind w:left="0" w:right="0" w:hanging="0"/>
              <w:jc w:val="left"/>
              <w:rPr/>
            </w:pPr>
            <w:r>
              <w:rPr/>
              <w:t> </w:t>
            </w:r>
          </w:p>
        </w:tc>
        <w:tc>
          <w:tcPr>
            <w:tcW w:w="33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44%</w:t>
            </w:r>
          </w:p>
        </w:tc>
        <w:tc>
          <w:tcPr>
            <w:tcW w:w="60" w:type="dxa"/>
            <w:tcBorders/>
            <w:shd w:fill="FFFFFF" w:val="clear"/>
            <w:vAlign w:val="center"/>
          </w:tcPr>
          <w:p>
            <w:pPr>
              <w:pStyle w:val="TableContents"/>
              <w:bidi w:val="0"/>
              <w:spacing w:before="0" w:after="0"/>
              <w:ind w:left="0" w:right="0" w:hanging="0"/>
              <w:jc w:val="left"/>
              <w:rPr/>
            </w:pPr>
            <w:r>
              <w:rPr/>
              <w:t> </w:t>
            </w:r>
          </w:p>
        </w:tc>
        <w:tc>
          <w:tcPr>
            <w:tcW w:w="39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39%</w:t>
            </w:r>
          </w:p>
        </w:tc>
        <w:tc>
          <w:tcPr>
            <w:tcW w:w="60" w:type="dxa"/>
            <w:tcBorders/>
            <w:shd w:fill="FFFFFF" w:val="clear"/>
            <w:vAlign w:val="center"/>
          </w:tcPr>
          <w:p>
            <w:pPr>
              <w:pStyle w:val="TableContents"/>
              <w:bidi w:val="0"/>
              <w:spacing w:before="0" w:after="0"/>
              <w:ind w:left="0" w:right="0" w:hanging="0"/>
              <w:jc w:val="left"/>
              <w:rPr/>
            </w:pPr>
            <w:r>
              <w:rPr/>
              <w:t> </w:t>
            </w:r>
          </w:p>
        </w:tc>
        <w:tc>
          <w:tcPr>
            <w:tcW w:w="339"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**Figures may not sum due to rounding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Additional Information &amp; Disclosures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This monthly metrics package provides certain limited purpose monthly performance results of Bullish. This information is presented without commentary and should be read together with our most recent quarterly and annual results and our filings with the U.S. Securities and Exchange Commission (SEC), which are available on our Investor Relations website at </w:t>
      </w:r>
      <w:r>
        <w:rPr>
          <w:rFonts w:ascii="Times New Roman" w:hAnsi="Times New Roman"/>
          <w:caps w:val="false"/>
          <w:smallCaps w:val="false"/>
          <w:sz w:val="20"/>
          <w:u w:val="single"/>
        </w:rPr>
        <w:t>investors.bullish.com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provided is unaudited and the information for the months in the most recent fiscal quarter is preliminary, based on our estimates and subject to completion of our financial closing procedures. Final results for the quarter, as reported in our SEC filings, might vary from the information provided in this monthly metrics package.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Bullish expects to release monthly metrics packages for the prior month’s performance after the end of each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use our Investor Relations website (investors.bullish.com) and our X account (x.com/bullish) to publicize information relevant to investors, including information that may be deemed material, in addition to filings we make with the SEC and press releases. We encourage investors to regularly review the information posted on our website and X account in addition to our SEC filings and press releases to be informed of the latest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Definitions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Trading Volume</w:t>
      </w:r>
      <w:r>
        <w:rPr>
          <w:rFonts w:ascii="Times New Roman" w:hAnsi="Times New Roman"/>
          <w:caps w:val="false"/>
          <w:smallCaps w:val="false"/>
          <w:sz w:val="20"/>
        </w:rPr>
        <w:t xml:space="preserve"> represents the notional value of trades, i.e. the product of the quantity of assets transacted and the trade price at the time the transaction was executed. The quantity represents the total U.S. dollar equivalent value of matched trades transacted between a buyer and seller through our platform during the period of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Average Trading Spread</w:t>
      </w:r>
      <w:r>
        <w:rPr>
          <w:rFonts w:ascii="Times New Roman" w:hAnsi="Times New Roman"/>
          <w:caps w:val="false"/>
          <w:smallCaps w:val="false"/>
          <w:sz w:val="20"/>
        </w:rPr>
        <w:t xml:space="preserve"> represents total commissions earned from transactions on the Bullish Exchange for the period, expressed as a percentage of the trading volume for the period. Management reviews this metric, which reflects the cost of trading on the Bullish Exchange, changes in fair value of perpetual futures, and rebates, for insight into the average revenue generated per unit of trading volume on our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Volatility</w:t>
      </w:r>
      <w:r>
        <w:rPr>
          <w:rFonts w:ascii="Times New Roman" w:hAnsi="Times New Roman"/>
          <w:caps w:val="false"/>
          <w:smallCaps w:val="false"/>
          <w:sz w:val="20"/>
        </w:rPr>
        <w:t xml:space="preserve"> is calculated using 1-minute price intervals from CoinDesk Data's Adaptive Diversified Liquidity Index for BTC and ETH. We determine the daily volatility by measuring the standard deviation of these minute-by-minute price changes, which provides a more granular view of price fluctuations. This daily figure is then converted to an annualized volatility by multiplying it by the square root of 365, a standard practice for making risk metrics comparable over a one-year period.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1311</Words>
  <Characters>6916</Characters>
  <CharactersWithSpaces>8519</CharactersWithSpaces>
  <Paragraphs>1015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