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Bliss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BULLISH, UNIT B1, THE GROVE TOO</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ESTERLEY TIBBETTS HIGHWAY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Bullish</w:t>
              </w:r>
            </w:hyperlink>
            <w:r>
              <w:rPr/>
              <w:t xml:space="preserve"> [ </w:t>
            </w:r>
            <w:r>
              <w:rPr>
                <w:rFonts w:ascii="Times;serif" w:hAnsi="Times;serif"/>
                <w:color w:val="0000FF"/>
                <w:sz w:val="24"/>
                <w:shd w:fill="FFFFFF" w:val="clear"/>
              </w:rPr>
              <w:t>BLSH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4"/>
        <w:gridCol w:w="908"/>
        <w:gridCol w:w="780"/>
        <w:gridCol w:w="603"/>
        <w:gridCol w:w="337"/>
        <w:gridCol w:w="998"/>
        <w:gridCol w:w="420"/>
        <w:gridCol w:w="981"/>
        <w:gridCol w:w="1240"/>
        <w:gridCol w:w="959"/>
        <w:gridCol w:w="9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76,953</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40.2049</w:t>
            </w:r>
            <w:r>
              <w:rPr>
                <w:rFonts w:ascii="Times;serif" w:hAnsi="Times;serif"/>
                <w:color w:val="008000"/>
                <w:position w:val="7"/>
                <w:sz w:val="16"/>
                <w:sz w:val="20"/>
                <w:shd w:fill="FFFFFF" w:val="clear"/>
              </w:rPr>
              <w:t>(1)</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4,963,049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Bliss Capital Limited</w:t>
            </w:r>
            <w:r>
              <w:rPr>
                <w:rFonts w:ascii="Times;serif" w:hAnsi="Times;serif"/>
                <w:color w:val="008000"/>
                <w:position w:val="7"/>
                <w:sz w:val="16"/>
                <w:sz w:val="20"/>
                <w:shd w:fill="FFFFFF" w:val="clear"/>
              </w:rPr>
              <w:t>(5)</w:t>
            </w:r>
          </w:p>
        </w:tc>
      </w:tr>
      <w:tr>
        <w:trPr/>
        <w:tc>
          <w:tcPr>
            <w:tcW w:w="19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108,200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40.7861</w:t>
            </w:r>
            <w:r>
              <w:rPr>
                <w:rFonts w:ascii="Times;serif" w:hAnsi="Times;serif"/>
                <w:color w:val="008000"/>
                <w:position w:val="7"/>
                <w:sz w:val="16"/>
                <w:sz w:val="20"/>
                <w:shd w:fill="FFFFFF" w:val="clear"/>
              </w:rPr>
              <w:t>(2)</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4,854,849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Bliss Capital Limited</w:t>
            </w:r>
            <w:r>
              <w:rPr>
                <w:rFonts w:ascii="Times;serif" w:hAnsi="Times;serif"/>
                <w:color w:val="008000"/>
                <w:position w:val="7"/>
                <w:sz w:val="16"/>
                <w:sz w:val="20"/>
                <w:shd w:fill="FFFFFF" w:val="clear"/>
              </w:rPr>
              <w:t>(5)</w:t>
            </w:r>
          </w:p>
        </w:tc>
      </w:tr>
      <w:tr>
        <w:trPr/>
        <w:tc>
          <w:tcPr>
            <w:tcW w:w="19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59,976</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40.2166</w:t>
            </w:r>
            <w:r>
              <w:rPr>
                <w:rFonts w:ascii="Times;serif" w:hAnsi="Times;serif"/>
                <w:color w:val="008000"/>
                <w:position w:val="7"/>
                <w:sz w:val="16"/>
                <w:sz w:val="20"/>
                <w:shd w:fill="FFFFFF" w:val="clear"/>
              </w:rPr>
              <w:t>(3)</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4,794,873</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Bliss Capital Limited</w:t>
            </w:r>
            <w:r>
              <w:rPr>
                <w:rFonts w:ascii="Times;serif" w:hAnsi="Times;serif"/>
                <w:color w:val="008000"/>
                <w:position w:val="7"/>
                <w:sz w:val="16"/>
                <w:sz w:val="20"/>
                <w:shd w:fill="FFFFFF" w:val="clear"/>
              </w:rPr>
              <w:t>(5)</w:t>
            </w:r>
          </w:p>
        </w:tc>
      </w:tr>
      <w:tr>
        <w:trPr/>
        <w:tc>
          <w:tcPr>
            <w:tcW w:w="19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10,016</w:t>
            </w:r>
            <w:r>
              <w:rPr>
                <w:rFonts w:ascii="Times;serif" w:hAnsi="Times;serif"/>
                <w:color w:val="008000"/>
                <w:position w:val="7"/>
                <w:sz w:val="16"/>
                <w:sz w:val="20"/>
                <w:shd w:fill="FFFFFF" w:val="clear"/>
              </w:rPr>
              <w:t>(4)</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weighted average price of shares sold in multiple transactions at prices that ranged from $40.00 to $40.58.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price of shares sold in multiple transactions at prices that ranged from $40.00 to $41.41.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price of shares sold in multiple transactions at prices that ranged from $40.00 to $40.97.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5,877 restricted share units ("RSUs") granted to the Reporting Person pursuant to the Bullish 2025 Omnibus Incentive Plan. The RSUs vest in full on September 1, 2027. Each RSU represents a right to receive one ordinary share of Bullish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securities are held indirectly through By Bliss Capital Limited, an entity controlled by the Reporting Person. The Reporting Person is deemed to beneficially own the shares held by Bliss Capital Limited.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C. Bliss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4191" TargetMode="External"/><Relationship Id="rId5" Type="http://schemas.openxmlformats.org/officeDocument/2006/relationships/hyperlink" Target="http://www.sec.gov/cgi-bin/browse-edgar?action=getcompany&amp;CIK=0001872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779</Words>
  <Characters>4240</Characters>
  <CharactersWithSpaces>4924</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