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Wynn Andrew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BULLISH, UNIT B1,</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GROVE TOO, ESTERLEY TIBBETTS HIGHWAY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KY1-9006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Bullish</w:t>
              </w:r>
            </w:hyperlink>
            <w:r>
              <w:rPr/>
              <w:t xml:space="preserve"> [ </w:t>
            </w:r>
            <w:r>
              <w:rPr>
                <w:rFonts w:ascii="Times;serif" w:hAnsi="Times;serif"/>
                <w:color w:val="0000FF"/>
                <w:sz w:val="24"/>
                <w:shd w:fill="FFFFFF" w:val="clear"/>
              </w:rPr>
              <w:t>BLSH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1"/>
        <w:gridCol w:w="902"/>
        <w:gridCol w:w="771"/>
        <w:gridCol w:w="599"/>
        <w:gridCol w:w="352"/>
        <w:gridCol w:w="899"/>
        <w:gridCol w:w="465"/>
        <w:gridCol w:w="627"/>
        <w:gridCol w:w="1181"/>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2,063</w:t>
            </w:r>
            <w:r>
              <w:rPr>
                <w:rFonts w:ascii="Times;serif" w:hAnsi="Times;serif"/>
                <w:color w:val="008000"/>
                <w:position w:val="7"/>
                <w:sz w:val="16"/>
                <w:sz w:val="20"/>
                <w:shd w:fill="FFFFFF" w:val="clear"/>
              </w:rPr>
              <w:t>(1)</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12,410</w:t>
            </w:r>
          </w:p>
        </w:tc>
        <w:tc>
          <w:tcPr>
            <w:tcW w:w="10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5,877</w:t>
            </w:r>
            <w:r>
              <w:rPr>
                <w:rFonts w:ascii="Times;serif" w:hAnsi="Times;serif"/>
                <w:color w:val="008000"/>
                <w:position w:val="7"/>
                <w:sz w:val="16"/>
                <w:sz w:val="20"/>
                <w:shd w:fill="FFFFFF" w:val="clear"/>
              </w:rPr>
              <w:t>(2)</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18,287</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2,063 restricted share units ("RSUs") granted to the Reporting Person pursuant to the Bullish 2025 Omnibus Incentive Plan. The RSUs vest in full on June 1, 2027. Each RSU represents a right to receive one ordinary share of Bullish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5,877 restricted share units ("RSUs") granted to the Reporting Person pursuant to the Bullish 2025 Omnibus Incentive Plan. The RSUs vest in full on September 1, 2027. Each RSU represents a right to receive one ordinary share of Bullish upon vesting.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issuer's status as a foreign private issuer pursuant to Rule 3a12-3(b) under the Securities Exchange Act of 1934 (the "Act"), the Reporting Person's transactions in the issuer's equity securities are exempt from Sections 16(b) and 16(c) of the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C. Wynn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0164" TargetMode="External"/><Relationship Id="rId5" Type="http://schemas.openxmlformats.org/officeDocument/2006/relationships/hyperlink" Target="http://www.sec.gov/cgi-bin/browse-edgar?action=getcompany&amp;CIK=00018721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704</Words>
  <Characters>3790</Characters>
  <CharactersWithSpaces>4416</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