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Bonanno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BULLISH, UNIT B1, THE GROVE TOO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ESTERLEY TIBBETTS HIGHWAY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Bullish</w:t>
              </w:r>
            </w:hyperlink>
            <w:r>
              <w:rPr/>
              <w:t xml:space="preserve"> [ </w:t>
            </w:r>
            <w:r>
              <w:rPr>
                <w:rFonts w:ascii="Times;serif" w:hAnsi="Times;serif"/>
                <w:color w:val="0000FF"/>
                <w:sz w:val="24"/>
                <w:shd w:fill="FFFFFF" w:val="clear"/>
              </w:rPr>
              <w:t>BLSH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2"/>
        <w:gridCol w:w="903"/>
        <w:gridCol w:w="774"/>
        <w:gridCol w:w="600"/>
        <w:gridCol w:w="343"/>
        <w:gridCol w:w="1184"/>
        <w:gridCol w:w="439"/>
        <w:gridCol w:w="602"/>
        <w:gridCol w:w="1261"/>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1,736,976</w:t>
            </w:r>
            <w:r>
              <w:rPr>
                <w:rFonts w:ascii="Times;serif" w:hAnsi="Times;serif"/>
                <w:color w:val="008000"/>
                <w:position w:val="7"/>
                <w:sz w:val="16"/>
                <w:sz w:val="20"/>
                <w:shd w:fill="FFFFFF" w:val="clear"/>
              </w:rPr>
              <w:t>(1)(2)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1,736,976</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59" w:type="dxa"/>
        <w:jc w:val="left"/>
        <w:tblInd w:w="-7" w:type="dxa"/>
        <w:tblLayout w:type="fixed"/>
        <w:tblCellMar>
          <w:top w:w="60" w:type="dxa"/>
          <w:left w:w="60" w:type="dxa"/>
          <w:bottom w:w="60" w:type="dxa"/>
          <w:right w:w="60" w:type="dxa"/>
        </w:tblCellMar>
      </w:tblPr>
      <w:tblGrid>
        <w:gridCol w:w="920"/>
        <w:gridCol w:w="861"/>
        <w:gridCol w:w="891"/>
        <w:gridCol w:w="771"/>
        <w:gridCol w:w="591"/>
        <w:gridCol w:w="300"/>
        <w:gridCol w:w="276"/>
        <w:gridCol w:w="966"/>
        <w:gridCol w:w="906"/>
        <w:gridCol w:w="801"/>
        <w:gridCol w:w="861"/>
        <w:gridCol w:w="1101"/>
        <w:gridCol w:w="801"/>
        <w:gridCol w:w="936"/>
        <w:gridCol w:w="831"/>
        <w:gridCol w:w="846"/>
      </w:tblGrid>
      <w:tr>
        <w:trPr>
          <w:tblHeader w:val="true"/>
        </w:trPr>
        <w:tc>
          <w:tcPr>
            <w:tcW w:w="126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1,736,976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1,736,976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20, 2026, BMC1, a subsidiary of Bullish, merged with and into BMC3 LLC, a subsidiary of Bullish, as part of an internal reorganization. As consideration in the merger, incentive units of BMC1 held by the Reporting Person were cancelled and converted into 1,736,976 ordinary shares of the Issuer. No cash or other consideration was paid or received.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received by the Reporting Person are subject to time-based vesting and performance conditions. As of the date of this filing, 1,141,146 of the ordinary shares are vested, and the remaining shares remain subject to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Bonanno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9817" TargetMode="External"/><Relationship Id="rId5" Type="http://schemas.openxmlformats.org/officeDocument/2006/relationships/hyperlink" Target="http://www.sec.gov/cgi-bin/browse-edgar?action=getcompany&amp;CIK=0001872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3917</Characters>
  <CharactersWithSpaces>4557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