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2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Pursuant to Rule 13a-16 or 15d-16 of</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17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5"/>
          <w:szCs w:val="15"/>
          <w:color w:val="auto"/>
        </w:rPr>
        <w:t xml:space="preserve">For the month of </w:t>
      </w:r>
      <w:r>
        <w:rPr>
          <w:rFonts w:ascii="Times New Roman" w:cs="Times New Roman" w:eastAsia="Times New Roman" w:hAnsi="Times New Roman"/>
          <w:sz w:val="15"/>
          <w:szCs w:val="15"/>
          <w:b w:val="1"/>
          <w:bCs w:val="1"/>
          <w:color w:val="auto"/>
        </w:rPr>
        <w:t>February 2026</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 xml:space="preserve">Commission File No. </w:t>
      </w:r>
      <w:r>
        <w:rPr>
          <w:rFonts w:ascii="Times New Roman" w:cs="Times New Roman" w:eastAsia="Times New Roman" w:hAnsi="Times New Roman"/>
          <w:sz w:val="15"/>
          <w:szCs w:val="15"/>
          <w:b w:val="1"/>
          <w:bCs w:val="1"/>
          <w:color w:val="auto"/>
        </w:rPr>
        <w:t>001-42797</w:t>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BULLISH</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Office 101, 103, 105 Suite 70202, Unit 7A-2B, 2nd Floor</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Building A, Block 7, 60 Nexus Way, Camana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George Town, Grand Cayman, Cayman Islands, KY1-9005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55" w:lineRule="exact"/>
        <w:rPr>
          <w:sz w:val="24"/>
          <w:szCs w:val="24"/>
          <w:color w:val="auto"/>
        </w:rPr>
      </w:pPr>
    </w:p>
    <w:p>
      <w:pPr>
        <w:ind w:left="4780"/>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5391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139"/>
          </w:cols>
          <w:pgMar w:left="320" w:top="3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INFORMATION CONTAINED IN THIS REPORT ON FORM 6-K</w:t>
      </w:r>
    </w:p>
    <w:p>
      <w:pPr>
        <w:spacing w:after="0" w:line="3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5"/>
          <w:szCs w:val="15"/>
          <w:color w:val="auto"/>
        </w:rPr>
        <w:t>On February 5, 2026, Bullish issued a press release titled “Bullish Reports Fourth Quarter 2025 Results.” A copy of the press release and the earnings presentation are furnished as Exhibits 99.1 and 99.2, respectively, to this report on Form 6-K.</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INDEX TO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Exhibit No.</w:t>
            </w:r>
          </w:p>
        </w:tc>
        <w:tc>
          <w:tcPr>
            <w:tcW w:w="1180" w:type="dxa"/>
            <w:vAlign w:val="bottom"/>
          </w:tcPr>
          <w:p>
            <w:pPr>
              <w:spacing w:after="0"/>
              <w:rPr>
                <w:sz w:val="15"/>
                <w:szCs w:val="15"/>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91"/>
              </w:rPr>
              <w:t>99.</w:t>
            </w:r>
            <w:r>
              <w:rPr>
                <w:rFonts w:ascii="Times New Roman" w:cs="Times New Roman" w:eastAsia="Times New Roman" w:hAnsi="Times New Roman"/>
                <w:sz w:val="15"/>
                <w:szCs w:val="15"/>
                <w:u w:val="single" w:color="auto"/>
                <w:color w:val="auto"/>
                <w:w w:val="91"/>
              </w:rPr>
              <w:t>1</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380" w:type="dxa"/>
            <w:vAlign w:val="bottom"/>
            <w:gridSpan w:val="4"/>
          </w:tcPr>
          <w:p>
            <w:pPr>
              <w:spacing w:after="0" w:line="162" w:lineRule="exact"/>
              <w:rPr>
                <w:sz w:val="20"/>
                <w:szCs w:val="20"/>
                <w:color w:val="auto"/>
              </w:rPr>
            </w:pPr>
            <w:r>
              <w:rPr>
                <w:rFonts w:ascii="Times New Roman" w:cs="Times New Roman" w:eastAsia="Times New Roman" w:hAnsi="Times New Roman"/>
                <w:sz w:val="15"/>
                <w:szCs w:val="15"/>
                <w:color w:val="0000EE"/>
              </w:rPr>
              <w:t>Bullish Reports Fourth Quarter 2025 Results</w:t>
            </w:r>
          </w:p>
        </w:tc>
      </w:tr>
      <w:tr>
        <w:trPr>
          <w:trHeight w:val="162"/>
        </w:trPr>
        <w:tc>
          <w:tcPr>
            <w:tcW w:w="26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w w:val="91"/>
              </w:rPr>
              <w:t>99.</w:t>
            </w:r>
            <w:r>
              <w:rPr>
                <w:rFonts w:ascii="Times New Roman" w:cs="Times New Roman" w:eastAsia="Times New Roman" w:hAnsi="Times New Roman"/>
                <w:sz w:val="15"/>
                <w:szCs w:val="15"/>
                <w:u w:val="single" w:color="auto"/>
                <w:color w:val="auto"/>
                <w:w w:val="91"/>
              </w:rPr>
              <w:t>2</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00" w:type="dxa"/>
            <w:vAlign w:val="bottom"/>
            <w:tcBorders>
              <w:top w:val="single" w:sz="8" w:color="0000EE"/>
            </w:tcBorders>
            <w:gridSpan w:val="3"/>
          </w:tcPr>
          <w:p>
            <w:pPr>
              <w:spacing w:after="0" w:line="162" w:lineRule="exact"/>
              <w:rPr>
                <w:sz w:val="20"/>
                <w:szCs w:val="20"/>
                <w:color w:val="auto"/>
              </w:rPr>
            </w:pPr>
            <w:r>
              <w:rPr>
                <w:rFonts w:ascii="Times New Roman" w:cs="Times New Roman" w:eastAsia="Times New Roman" w:hAnsi="Times New Roman"/>
                <w:sz w:val="15"/>
                <w:szCs w:val="15"/>
                <w:color w:val="0000EE"/>
              </w:rPr>
              <w:t>Fourth Quarter 2025 Earnings Presentation</w:t>
            </w:r>
          </w:p>
        </w:tc>
        <w:tc>
          <w:tcPr>
            <w:tcW w:w="6680" w:type="dxa"/>
            <w:vAlign w:val="bottom"/>
          </w:tcPr>
          <w:p>
            <w:pPr>
              <w:spacing w:after="0"/>
              <w:rPr>
                <w:sz w:val="14"/>
                <w:szCs w:val="14"/>
                <w:color w:val="auto"/>
              </w:rPr>
            </w:pPr>
          </w:p>
        </w:tc>
      </w:tr>
      <w:tr>
        <w:trPr>
          <w:trHeight w:val="494"/>
        </w:trPr>
        <w:tc>
          <w:tcPr>
            <w:tcW w:w="26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5" w:lineRule="exact"/>
        <w:rPr>
          <w:sz w:val="20"/>
          <w:szCs w:val="20"/>
          <w:color w:val="auto"/>
        </w:rPr>
      </w:pPr>
    </w:p>
    <w:p>
      <w:pPr>
        <w:ind w:right="340" w:firstLine="545"/>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80" w:type="dxa"/>
            <w:vAlign w:val="bottom"/>
          </w:tcPr>
          <w:p>
            <w:pPr>
              <w:spacing w:after="0"/>
              <w:rPr>
                <w:sz w:val="17"/>
                <w:szCs w:val="17"/>
                <w:color w:val="auto"/>
              </w:rPr>
            </w:pPr>
          </w:p>
        </w:tc>
        <w:tc>
          <w:tcPr>
            <w:tcW w:w="3240" w:type="dxa"/>
            <w:vAlign w:val="bottom"/>
          </w:tcPr>
          <w:p>
            <w:pPr>
              <w:ind w:left="2160"/>
              <w:spacing w:after="0"/>
              <w:rPr>
                <w:sz w:val="20"/>
                <w:szCs w:val="20"/>
                <w:color w:val="auto"/>
              </w:rPr>
            </w:pPr>
            <w:r>
              <w:rPr>
                <w:rFonts w:ascii="Times New Roman" w:cs="Times New Roman" w:eastAsia="Times New Roman" w:hAnsi="Times New Roman"/>
                <w:sz w:val="15"/>
                <w:szCs w:val="15"/>
                <w:b w:val="1"/>
                <w:bCs w:val="1"/>
                <w:color w:val="auto"/>
              </w:rPr>
              <w:t>BULLISH</w:t>
            </w:r>
          </w:p>
        </w:tc>
        <w:tc>
          <w:tcPr>
            <w:tcW w:w="4440" w:type="dxa"/>
            <w:vAlign w:val="bottom"/>
          </w:tcPr>
          <w:p>
            <w:pPr>
              <w:spacing w:after="0"/>
              <w:rPr>
                <w:sz w:val="17"/>
                <w:szCs w:val="17"/>
                <w:color w:val="auto"/>
              </w:rPr>
            </w:pPr>
          </w:p>
        </w:tc>
      </w:tr>
      <w:tr>
        <w:trPr>
          <w:trHeight w:val="363"/>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Date: February 5, 2026</w:t>
            </w:r>
          </w:p>
        </w:tc>
        <w:tc>
          <w:tcPr>
            <w:tcW w:w="324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0"/>
                <w:szCs w:val="10"/>
                <w:color w:val="auto"/>
              </w:rPr>
              <w:t>s</w:t>
            </w:r>
            <w:r>
              <w:rPr>
                <w:rFonts w:ascii="Times New Roman" w:cs="Times New Roman" w:eastAsia="Times New Roman" w:hAnsi="Times New Roman"/>
                <w:sz w:val="15"/>
                <w:szCs w:val="15"/>
                <w:color w:val="auto"/>
              </w:rPr>
              <w:t>/ J</w:t>
            </w:r>
            <w:r>
              <w:rPr>
                <w:rFonts w:ascii="Times New Roman" w:cs="Times New Roman" w:eastAsia="Times New Roman" w:hAnsi="Times New Roman"/>
                <w:sz w:val="10"/>
                <w:szCs w:val="10"/>
                <w:color w:val="auto"/>
              </w:rPr>
              <w:t>ose</w:t>
            </w:r>
            <w:r>
              <w:rPr>
                <w:rFonts w:ascii="Times New Roman" w:cs="Times New Roman" w:eastAsia="Times New Roman" w:hAnsi="Times New Roman"/>
                <w:sz w:val="15"/>
                <w:szCs w:val="15"/>
                <w:color w:val="auto"/>
              </w:rPr>
              <w:t xml:space="preserve"> A. T</w:t>
            </w:r>
            <w:r>
              <w:rPr>
                <w:rFonts w:ascii="Times New Roman" w:cs="Times New Roman" w:eastAsia="Times New Roman" w:hAnsi="Times New Roman"/>
                <w:sz w:val="10"/>
                <w:szCs w:val="10"/>
                <w:color w:val="auto"/>
              </w:rPr>
              <w:t>orres</w:t>
            </w:r>
          </w:p>
        </w:tc>
      </w:tr>
      <w:tr>
        <w:trPr>
          <w:trHeight w:val="158"/>
        </w:trPr>
        <w:tc>
          <w:tcPr>
            <w:tcW w:w="3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4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Jose A. Torres</w:t>
            </w:r>
          </w:p>
        </w:tc>
      </w:tr>
      <w:tr>
        <w:trPr>
          <w:trHeight w:val="197"/>
        </w:trPr>
        <w:tc>
          <w:tcPr>
            <w:tcW w:w="3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Chief Accounting Officer</w:t>
            </w:r>
          </w:p>
        </w:tc>
      </w:tr>
    </w:tbl>
    <w:p>
      <w:pPr>
        <w:sectPr>
          <w:pgSz w:w="11900" w:h="16838" w:orient="portrait"/>
          <w:cols w:equalWidth="0" w:num="1">
            <w:col w:w="11260"/>
          </w:cols>
          <w:pgMar w:left="320" w:top="507"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Bullish Reports Fourth Quarter 2025 Results</w:t>
      </w:r>
    </w:p>
    <w:p>
      <w:pPr>
        <w:spacing w:after="0" w:line="196" w:lineRule="exact"/>
        <w:rPr>
          <w:sz w:val="20"/>
          <w:szCs w:val="20"/>
          <w:color w:val="auto"/>
        </w:rPr>
      </w:pPr>
    </w:p>
    <w:p>
      <w:pPr>
        <w:ind w:left="540" w:hanging="277"/>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Q4</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2025 Digital asset sales of $64.3 billion and Net income of $(563.6)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Bullish posts record Adjusted revenue, Adjusted EBITDA, and Adjusted net income for Q4</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2025</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Bullish beats guided range on Subscription, services, &amp; other revenue and in-line with guided range on Adjusted operating expense in Q4</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2025</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Q4</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2025 Adjusted revenue of $92.5 million and Adjusted EBITDA of $44.5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Bullish options trading surpasses $9B in options trading volume and reaches open interest high of $4B (open interest data through January 31, 2026)</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Cayman Islands, February 5, 2025 – Bullish (NYSE: BLSH), an institutionally focused global digital asset platform that provides market infrastructure and information services, today announced financial results for the fourth quarter ended December 31, 2025.</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Tom Farley, CEO: “I believe that we are at a turning point for digital assets. For all of crypto’s extreme volatility and cyclicality, the vision of faster, better, cheaper, permissionless capital is being unlocked in real-time to bring everything onchain. What I envision immediately ahead for this industry - and, particularly for Bullish, is why I came to the digital assets space.”</w:t>
      </w:r>
    </w:p>
    <w:p>
      <w:pPr>
        <w:spacing w:after="0" w:line="3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David Bonanno, CFO: "I’m proud of our financial results for the quarter and the Full Year 2025, achieving record adjusted revenue growth and demonstrating our strong and expanding operating leverage; we look forward to building on our momentum in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Q4 2025 Financial Highlights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All amounts compared to Q4 2024</w:t>
      </w:r>
    </w:p>
    <w:p>
      <w:pPr>
        <w:spacing w:after="0" w:line="193" w:lineRule="exact"/>
        <w:rPr>
          <w:sz w:val="20"/>
          <w:szCs w:val="20"/>
          <w:color w:val="auto"/>
        </w:rPr>
      </w:pPr>
    </w:p>
    <w:p>
      <w:pPr>
        <w:ind w:left="540" w:hanging="277"/>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Digital asset sales were $64.3 billion vs. $66.0 billion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(loss) was $(563.6) million or $(3.73) per diluted share vs. $158.5 million or $1.37 per diluted share</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revenue (non-IFRS) was $92.5 million vs. $55.2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transaction revenue (non-IFRS) was $37.9 million vs. $41.0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net income (non-IFRS) was $28.9 million vs. $4.0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(non-IFRS) was $44.5 million vs. $15.8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Full Year 2025 Financial Highlights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All amounts compared to Full Year 2024</w:t>
      </w:r>
    </w:p>
    <w:p>
      <w:pPr>
        <w:spacing w:after="0" w:line="193" w:lineRule="exact"/>
        <w:rPr>
          <w:sz w:val="20"/>
          <w:szCs w:val="20"/>
          <w:color w:val="auto"/>
        </w:rPr>
      </w:pPr>
    </w:p>
    <w:p>
      <w:pPr>
        <w:ind w:left="540" w:hanging="277"/>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Digital asset sales were $244.8 billion vs. $250.2 billion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(loss) was $(785.5) million vs. $79.6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revenue (non-IFRS) was $288.5 million vs. $213.9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transaction revenue (non-IFRS) was $130.7 million vs. $153.2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net income (non-IFRS) was $38.8 million vs. $9.6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(non-IFRS) was $94.3 million vs. $52.1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5391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color w:val="auto"/>
        </w:rPr>
        <w:t>Q4 2025 Key Business Metrics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Highlights</w:t>
      </w:r>
    </w:p>
    <w:p>
      <w:pPr>
        <w:spacing w:after="0" w:line="191" w:lineRule="exact"/>
        <w:rPr>
          <w:sz w:val="20"/>
          <w:szCs w:val="20"/>
          <w:color w:val="auto"/>
        </w:rPr>
      </w:pPr>
    </w:p>
    <w:p>
      <w:pPr>
        <w:ind w:left="540" w:hanging="277"/>
        <w:spacing w:after="0" w:line="292"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Options Launch and Rapid Adoption: </w:t>
      </w:r>
      <w:r>
        <w:rPr>
          <w:rFonts w:ascii="Times New Roman" w:cs="Times New Roman" w:eastAsia="Times New Roman" w:hAnsi="Times New Roman"/>
          <w:sz w:val="15"/>
          <w:szCs w:val="15"/>
          <w:color w:val="auto"/>
        </w:rPr>
        <w:t>Surpassed $9B in options trading volume and reached an open interest high of $4B, establishing Bullish as the #2 exchange for BTC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options open interest (open interest data through January 31, 2026)</w:t>
      </w:r>
    </w:p>
    <w:p>
      <w:pPr>
        <w:spacing w:after="0" w:line="12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ETP Strength: </w:t>
      </w:r>
      <w:r>
        <w:rPr>
          <w:rFonts w:ascii="Times New Roman" w:cs="Times New Roman" w:eastAsia="Times New Roman" w:hAnsi="Times New Roman"/>
          <w:sz w:val="15"/>
          <w:szCs w:val="15"/>
          <w:color w:val="auto"/>
        </w:rPr>
        <w:t>Established position as the #1 Indexer by market share for all indexers of digital assets, winning 15 of 39 digital asset focused ETF listings globally in 4Q’ 2025</w:t>
      </w:r>
    </w:p>
    <w:p>
      <w:pPr>
        <w:spacing w:after="0" w:line="213" w:lineRule="exact"/>
        <w:rPr>
          <w:rFonts w:ascii="Times New Roman" w:cs="Times New Roman" w:eastAsia="Times New Roman" w:hAnsi="Times New Roman"/>
          <w:sz w:val="15"/>
          <w:szCs w:val="15"/>
          <w:color w:val="auto"/>
        </w:rPr>
      </w:pPr>
    </w:p>
    <w:p>
      <w:pPr>
        <w:ind w:left="540" w:hanging="277"/>
        <w:spacing w:after="0" w:line="292"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Liquidity Services Growth</w:t>
      </w:r>
      <w:r>
        <w:rPr>
          <w:rFonts w:ascii="Times New Roman" w:cs="Times New Roman" w:eastAsia="Times New Roman" w:hAnsi="Times New Roman"/>
          <w:sz w:val="15"/>
          <w:szCs w:val="15"/>
          <w:color w:val="auto"/>
        </w:rPr>
        <w:t>: Continued momentum from established and emerging asset issuers with new institutional partnerships, driving another quarter of record SS&amp;O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revenue</w:t>
      </w:r>
    </w:p>
    <w:p>
      <w:pPr>
        <w:spacing w:after="0" w:line="12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U.S. Regulatory: </w:t>
      </w:r>
      <w:r>
        <w:rPr>
          <w:rFonts w:ascii="Times New Roman" w:cs="Times New Roman" w:eastAsia="Times New Roman" w:hAnsi="Times New Roman"/>
          <w:sz w:val="15"/>
          <w:szCs w:val="15"/>
          <w:color w:val="auto"/>
        </w:rPr>
        <w:t>Secured Transfer Agent Registration furthering the development of our tokenization stack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2026 Guidance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give investors insight into our business and expectations, management is providing the following guidance for the full year 2026:</w:t>
      </w:r>
    </w:p>
    <w:p>
      <w:pPr>
        <w:spacing w:after="0" w:line="195" w:lineRule="exact"/>
        <w:rPr>
          <w:sz w:val="20"/>
          <w:szCs w:val="20"/>
          <w:color w:val="auto"/>
        </w:rPr>
      </w:pPr>
    </w:p>
    <w:p>
      <w:pPr>
        <w:ind w:left="540" w:hanging="277"/>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Subscription, services &amp; other revenue (non-IFRS) of $220.0 million to $250.0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operating expense (non-IFRS) of $210.0 million to $230.0 million</w:t>
      </w:r>
    </w:p>
    <w:p>
      <w:pPr>
        <w:spacing w:after="0" w:line="213"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Finance expense of $52.0 million to $60.0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Conference Call Webcast and Q&amp;A Information</w:t>
      </w:r>
    </w:p>
    <w:p>
      <w:pPr>
        <w:spacing w:after="0" w:line="1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 xml:space="preserve">Bullish will host a call to discuss its results at 8:30 a.m. ET on February 5, 2026. The live webcast can be accessed at </w:t>
      </w:r>
      <w:r>
        <w:rPr>
          <w:rFonts w:ascii="Times New Roman" w:cs="Times New Roman" w:eastAsia="Times New Roman" w:hAnsi="Times New Roman"/>
          <w:sz w:val="15"/>
          <w:szCs w:val="15"/>
          <w:b w:val="1"/>
          <w:bCs w:val="1"/>
          <w:u w:val="single" w:color="auto"/>
          <w:color w:val="auto"/>
        </w:rPr>
        <w:t>investors.bullish.com</w:t>
      </w:r>
      <w:r>
        <w:rPr>
          <w:rFonts w:ascii="Times New Roman" w:cs="Times New Roman" w:eastAsia="Times New Roman" w:hAnsi="Times New Roman"/>
          <w:sz w:val="15"/>
          <w:szCs w:val="15"/>
          <w:color w:val="auto"/>
        </w:rPr>
        <w:t xml:space="preserve">, along with supplemental slides. Following the call, a replay and transcript will be available at </w:t>
      </w:r>
      <w:r>
        <w:rPr>
          <w:rFonts w:ascii="Times New Roman" w:cs="Times New Roman" w:eastAsia="Times New Roman" w:hAnsi="Times New Roman"/>
          <w:sz w:val="15"/>
          <w:szCs w:val="15"/>
          <w:b w:val="1"/>
          <w:bCs w:val="1"/>
          <w:u w:val="single" w:color="auto"/>
          <w:color w:val="auto"/>
        </w:rPr>
        <w:t>investors.bullish.com</w:t>
      </w:r>
      <w:r>
        <w:rPr>
          <w:rFonts w:ascii="Times New Roman" w:cs="Times New Roman" w:eastAsia="Times New Roman" w:hAnsi="Times New Roman"/>
          <w:sz w:val="15"/>
          <w:szCs w:val="15"/>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Bullish</w:t>
      </w:r>
    </w:p>
    <w:p>
      <w:pPr>
        <w:spacing w:after="0" w:line="19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coindesk.com, a digital media platform that covers news and insights about digital assets, the underlying markets, policy and blockchain technology. For more information, please visit </w:t>
      </w:r>
      <w:r>
        <w:rPr>
          <w:rFonts w:ascii="Times New Roman" w:cs="Times New Roman" w:eastAsia="Times New Roman" w:hAnsi="Times New Roman"/>
          <w:sz w:val="15"/>
          <w:szCs w:val="15"/>
          <w:u w:val="single" w:color="auto"/>
          <w:color w:val="auto"/>
        </w:rPr>
        <w:t>bullish.com</w:t>
      </w:r>
      <w:r>
        <w:rPr>
          <w:rFonts w:ascii="Times New Roman" w:cs="Times New Roman" w:eastAsia="Times New Roman" w:hAnsi="Times New Roman"/>
          <w:sz w:val="15"/>
          <w:szCs w:val="15"/>
          <w:color w:val="auto"/>
        </w:rPr>
        <w:t xml:space="preserve"> and follow </w:t>
      </w:r>
      <w:r>
        <w:rPr>
          <w:rFonts w:ascii="Times New Roman" w:cs="Times New Roman" w:eastAsia="Times New Roman" w:hAnsi="Times New Roman"/>
          <w:sz w:val="15"/>
          <w:szCs w:val="15"/>
          <w:u w:val="single" w:color="auto"/>
          <w:color w:val="auto"/>
        </w:rPr>
        <w:t>LinkedIn</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X</w:t>
      </w:r>
      <w:r>
        <w:rPr>
          <w:rFonts w:ascii="Times New Roman" w:cs="Times New Roman" w:eastAsia="Times New Roman" w:hAnsi="Times New Roman"/>
          <w:sz w:val="15"/>
          <w:szCs w:val="15"/>
          <w:color w:val="auto"/>
        </w:rPr>
        <w: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Websites to Distribute Material Company Information</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We use the Bullish Investor Relations website (</w:t>
      </w:r>
      <w:r>
        <w:rPr>
          <w:rFonts w:ascii="Times New Roman" w:cs="Times New Roman" w:eastAsia="Times New Roman" w:hAnsi="Times New Roman"/>
          <w:sz w:val="15"/>
          <w:szCs w:val="15"/>
          <w:u w:val="single" w:color="auto"/>
          <w:color w:val="auto"/>
        </w:rPr>
        <w:t>investors.bullish.com</w:t>
      </w:r>
      <w:r>
        <w:rPr>
          <w:rFonts w:ascii="Times New Roman" w:cs="Times New Roman" w:eastAsia="Times New Roman" w:hAnsi="Times New Roman"/>
          <w:sz w:val="15"/>
          <w:szCs w:val="15"/>
          <w:color w:val="auto"/>
        </w:rPr>
        <w:t>) and our X account (</w:t>
      </w:r>
      <w:r>
        <w:rPr>
          <w:rFonts w:ascii="Times New Roman" w:cs="Times New Roman" w:eastAsia="Times New Roman" w:hAnsi="Times New Roman"/>
          <w:sz w:val="15"/>
          <w:szCs w:val="15"/>
          <w:u w:val="single" w:color="auto"/>
          <w:color w:val="auto"/>
        </w:rPr>
        <w:t>x.com/bullish</w:t>
      </w:r>
      <w:r>
        <w:rPr>
          <w:rFonts w:ascii="Times New Roman" w:cs="Times New Roman" w:eastAsia="Times New Roman" w:hAnsi="Times New Roman"/>
          <w:sz w:val="15"/>
          <w:szCs w:val="15"/>
          <w:color w:val="auto"/>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Contacts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Media: </w:t>
      </w:r>
      <w:r>
        <w:rPr>
          <w:rFonts w:ascii="Times New Roman" w:cs="Times New Roman" w:eastAsia="Times New Roman" w:hAnsi="Times New Roman"/>
          <w:sz w:val="15"/>
          <w:szCs w:val="15"/>
          <w:u w:val="single" w:color="auto"/>
          <w:color w:val="auto"/>
        </w:rPr>
        <w:t>media@bullish.com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Investor Relations: </w:t>
      </w:r>
      <w:r>
        <w:rPr>
          <w:rFonts w:ascii="Times New Roman" w:cs="Times New Roman" w:eastAsia="Times New Roman" w:hAnsi="Times New Roman"/>
          <w:sz w:val="15"/>
          <w:szCs w:val="15"/>
          <w:u w:val="single" w:color="auto"/>
          <w:color w:val="auto"/>
        </w:rPr>
        <w:t>investors@bullish.com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Source: </w:t>
      </w:r>
      <w:r>
        <w:rPr>
          <w:rFonts w:ascii="Times New Roman" w:cs="Times New Roman" w:eastAsia="Times New Roman" w:hAnsi="Times New Roman"/>
          <w:sz w:val="15"/>
          <w:szCs w:val="15"/>
          <w:color w:val="auto"/>
        </w:rPr>
        <w:t>Bullish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5391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0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color w:val="auto"/>
        </w:rPr>
        <w:t>Non-IFRS financial measures and key performance indicators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This communication includes certain financial measures that are not recognized by the International Financial Reporting Standards (“IFRS”). These non-IFRS financial measures are “adjusted transaction revenue,” “subscription, services and other revenue,” “adjusted revenue,” “adjusted net income / (loss)” and “adjusted EBITDA,” “gross liquid assets” and “net liquid assets”, and “adjusted operating expense.” These non-IFRS financial measures should not be considered in isolation or as an alternative to net income, cash flows from operations or other measures of profitability, liquidity or performance under IFRS. We believe these non-IFRS financial measures provide useful information to management and investors regarding certain financial and business trends. These non-IFRS financial measures are subject to inherent limitations as they reflect the exercise of judgments about which items of expense and income are excluded or included in determining these non-IFRS financial measures. Refer to the section “Reconciliation of Non-IFRS Measures” for further details and a reconciliation of the non-IFRS financial measures presented to their most directly comparable IFRS financial measures.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This communication also provides our forward-looking “adjusted transaction revenue,” “subscription, services &amp; other revenue,” “adjusted revenue,” “adjusted operating expense,” “adjusted EBITDA,” and “adjusted net income” guidance for the upcoming fiscal quarter. Information reconciling upcoming fiscal quarter “adjusted transaction revenue,” “subscription, services &amp; other revenue,” “adjusted revenue,” “adjusted operating expense,” “adjusted EBITDA,” and “adjusted net income” to their most directly comparable IFRS financial measures is unavailable to us without unreasonable effort due to the high variability, complexity and lack of visibility in making accurate forecasts and projections to certain reconciling items. These items cannot be reasonably and accurately predicated without the investment of undue time, costs and other resources, and accordingly, no reconciliation of the forward-looking non-IFRS financial measures is included. These reconciling items could be material to our actual results for the period.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This communication contains “forward-looking statements” within the meaning of the Private Securities Litigation Reform Act of 1995. Sentences containing words such as “believe,” “intend,” “plan,” “may,” “expect,” “should,” “could,” “anticipate,” “estimate,” “predict,” “project,” or their negatives, or other similar expressions of a future or forward-looking nature generally should be considered forward-looking statements. Such statements include, without limitation, statements relating to our expected financial or operating performance, including for the upcoming fiscal quarter; our business strategy and potential market opportunities; current and prospective products, services or acquisitions; trends in, demand for, and growth and market size of, the digital assets industry; the breadth and timing of onchain adoption; expectations regarding relationships with clients and third-party business partners and overall business momentum; our plans and expectations related to tokenization; competition in our industry; the regulatory and legal environment, including regulatory proceedings or approvals; and general economic and business conditions. Such forward-looking statements are based upon estimates and assumptions that, while considered reasonable by us, are inherently uncertain and are subject to risks, uncertainties, and other factors which could cause actual results to differ materially from those expressed or implied by such forward-looking statements. Factors that may cause results to differ from those expressed in our forward-looking statements include, but are not limited to intense competition in our industry, including from unregulated and less-regulated entities and platforms; our ability to execute our business strategy and grow our business and operations, including in new geographic locations; our ability to develop, launch and improve our products and services and their adoption; our ability to attract and retain customers; the evolving rules and regulations applicable to digital assets and our products and services; our ability to obtain and maintain regulatory approvals and stay in compliance with laws and regulations, and the costs of doing so; evolution and adoption of digital assets; interest rate fluctuations and digital asset price volatility; changes in, or unexpected, costs to operate our business; cybersecurity risks, including with respect to digital assets custody; disruptions to information and technology systems, blockchain networks and third-party services on which we rely; changes in general market, political or economic conditions; and other risks and uncertainties set forth in the section entitled “Risk Factors” in our final prospectus dated August 12, 2025 filed with the Securities and Exchange Commission (“SEC”), as well as potential risks and uncertainties disclosed in our other filings with the SEC. We may not actually achieve the performance, plans, or expectations disclosed in our forward-looking statements. Nothing in this communication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which speak only as of the date they are made. We do not undertake any duty to update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5391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0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color w:val="auto"/>
        </w:rPr>
        <w:t>Definitions of Certain Metrics</w:t>
      </w:r>
    </w:p>
    <w:p>
      <w:pPr>
        <w:spacing w:after="0" w:line="191" w:lineRule="exact"/>
        <w:rPr>
          <w:sz w:val="20"/>
          <w:szCs w:val="20"/>
          <w:color w:val="auto"/>
        </w:rPr>
      </w:pPr>
    </w:p>
    <w:p>
      <w:pPr>
        <w:jc w:val="both"/>
        <w:ind w:left="540" w:hanging="277"/>
        <w:spacing w:after="0" w:line="262"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Adjusted transaction revenue </w:t>
      </w:r>
      <w:r>
        <w:rPr>
          <w:rFonts w:ascii="Times New Roman" w:cs="Times New Roman" w:eastAsia="Times New Roman" w:hAnsi="Times New Roman"/>
          <w:sz w:val="15"/>
          <w:szCs w:val="15"/>
          <w:color w:val="auto"/>
        </w:rPr>
        <w:t>is a non-IFRS financial measure intended to capture the fees and trading spreads earned from customers trading on our Exchange. We define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adjusted transactional revenue as (i) the portion of “Digital asset sales”, as reported in accordance with IFRS, attributable to digital asset sales on our Exchange, less (ii) the “Cost of digital assets derecognized” excluding such costs from sales on venues other than the Exchange, plus (iii) the change in fair value of digital asset inventories, arising from purchase of digital assets on our Exchange (included within reported “Change in fair value of digital assets held, net”), plus (iv) transaction income (included within reported “Other revenues”), plus (v) net spread related income and change in fair value of perpetual futures on the Exchange.</w:t>
      </w:r>
    </w:p>
    <w:p>
      <w:pPr>
        <w:spacing w:after="0" w:line="175" w:lineRule="exact"/>
        <w:rPr>
          <w:rFonts w:ascii="Times New Roman" w:cs="Times New Roman" w:eastAsia="Times New Roman" w:hAnsi="Times New Roman"/>
          <w:sz w:val="15"/>
          <w:szCs w:val="15"/>
          <w:color w:val="auto"/>
        </w:rPr>
      </w:pPr>
    </w:p>
    <w:p>
      <w:pPr>
        <w:jc w:val="both"/>
        <w:ind w:left="54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exclude digital asset sales, and the related cost of digital assets derecognized, from trading activity on venues other than our Exchange. We also exclude subscription and services revenue (included within reported other revenues). In each case, this approach is intended to ensure that our adjusted transaction revenue metric reflects the core performance of our trading operations and provides a clearer understanding of our business activities on our Exchange.</w:t>
      </w:r>
    </w:p>
    <w:p>
      <w:pPr>
        <w:spacing w:after="0" w:line="169" w:lineRule="exact"/>
        <w:rPr>
          <w:rFonts w:ascii="Times New Roman" w:cs="Times New Roman" w:eastAsia="Times New Roman" w:hAnsi="Times New Roman"/>
          <w:sz w:val="15"/>
          <w:szCs w:val="15"/>
          <w:color w:val="auto"/>
        </w:rPr>
      </w:pPr>
    </w:p>
    <w:p>
      <w:pPr>
        <w:jc w:val="both"/>
        <w:ind w:left="54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we include change in fair value of digital asset inventories, specifically the bid-offer spread earned from the purchase of digital assets on our Exchange, as part of our adjusted transaction revenue, we do not include other reported changes in fair value, such as subsequent remeasurements and mark-to-market adjustments. This is because these remeasurements, including impairment losses of digital assets held under intangible assets, are not considered part of our ongoing business operations and do not align with our intention to avoid taking directional trading positions.</w:t>
      </w:r>
    </w:p>
    <w:p>
      <w:pPr>
        <w:spacing w:after="0" w:line="145" w:lineRule="exact"/>
        <w:rPr>
          <w:rFonts w:ascii="Times New Roman" w:cs="Times New Roman" w:eastAsia="Times New Roman" w:hAnsi="Times New Roman"/>
          <w:sz w:val="15"/>
          <w:szCs w:val="15"/>
          <w:color w:val="auto"/>
        </w:rPr>
      </w:pPr>
    </w:p>
    <w:p>
      <w:pPr>
        <w:jc w:val="both"/>
        <w:ind w:left="540" w:hanging="277"/>
        <w:spacing w:after="0" w:line="266"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Adjusted revenue </w:t>
      </w:r>
      <w:r>
        <w:rPr>
          <w:rFonts w:ascii="Times New Roman" w:cs="Times New Roman" w:eastAsia="Times New Roman" w:hAnsi="Times New Roman"/>
          <w:sz w:val="15"/>
          <w:szCs w:val="15"/>
          <w:color w:val="auto"/>
        </w:rPr>
        <w:t>is a non-IFRS financial measure intended to reflect the revenues generated by our trading and information services and also from our investing activities. We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define adjusted revenue as adjusted transaction revenue, plus (i) subscription and services revenue, which is included in reported other revenues and includes interest and revenues from CoinDesk and CCData, plus (ii) for periods prior to 2024 only, change in fair value of investment in financial assets, plus (iii) the net income from DeFi protocols excluding the fair value change of underlying digital assets, that is reported under OCI.</w:t>
      </w:r>
    </w:p>
    <w:p>
      <w:pPr>
        <w:spacing w:after="0" w:line="170" w:lineRule="exact"/>
        <w:rPr>
          <w:rFonts w:ascii="Times New Roman" w:cs="Times New Roman" w:eastAsia="Times New Roman" w:hAnsi="Times New Roman"/>
          <w:sz w:val="15"/>
          <w:szCs w:val="15"/>
          <w:color w:val="auto"/>
        </w:rPr>
      </w:pPr>
    </w:p>
    <w:p>
      <w:pPr>
        <w:ind w:left="540" w:right="20"/>
        <w:spacing w:after="0" w:line="28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Specifically, adjusted revenue includes the fees and trading spreads earned from customers trading on our Exchange, excludes gains or losses from the remeasurement of our digital assets and includes other fees such as interest and revenue from CoinDesk and CCData businesses that we acquired in November 2023 and October 2024, respectively.</w:t>
      </w:r>
    </w:p>
    <w:p>
      <w:pPr>
        <w:spacing w:after="0" w:line="13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Adjusted EBITDA </w:t>
      </w:r>
      <w:r>
        <w:rPr>
          <w:rFonts w:ascii="Times New Roman" w:cs="Times New Roman" w:eastAsia="Times New Roman" w:hAnsi="Times New Roman"/>
          <w:sz w:val="15"/>
          <w:szCs w:val="15"/>
          <w:color w:val="auto"/>
        </w:rPr>
        <w:t>is calculated as income/(loss) after tax adjusted to exclude:</w:t>
      </w:r>
    </w:p>
    <w:p>
      <w:pPr>
        <w:spacing w:after="0" w:line="217" w:lineRule="exact"/>
        <w:rPr>
          <w:rFonts w:ascii="Times New Roman" w:cs="Times New Roman" w:eastAsia="Times New Roman" w:hAnsi="Times New Roman"/>
          <w:sz w:val="15"/>
          <w:szCs w:val="15"/>
          <w:color w:val="auto"/>
        </w:rPr>
      </w:pPr>
    </w:p>
    <w:p>
      <w:pPr>
        <w:jc w:val="both"/>
        <w:ind w:left="1080" w:right="20" w:hanging="271"/>
        <w:spacing w:after="0" w:line="269" w:lineRule="auto"/>
        <w:tabs>
          <w:tab w:leader="none" w:pos="10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digital asset sales and the cost of digital assets derecognized on other venues, as these transactions do not directly reflect the core activities of liquidity provision and client facilitation on our Exchange. Excluding these is intended to ensure that our Adjusted EBITDA remains focused on the fundamental operations that drive our business;</w:t>
      </w:r>
    </w:p>
    <w:p>
      <w:pPr>
        <w:spacing w:after="0" w:line="146" w:lineRule="exact"/>
        <w:rPr>
          <w:rFonts w:ascii="Times New Roman" w:cs="Times New Roman" w:eastAsia="Times New Roman" w:hAnsi="Times New Roman"/>
          <w:sz w:val="15"/>
          <w:szCs w:val="15"/>
          <w:color w:val="auto"/>
        </w:rPr>
      </w:pPr>
    </w:p>
    <w:p>
      <w:pPr>
        <w:jc w:val="both"/>
        <w:ind w:left="1080" w:hanging="271"/>
        <w:spacing w:after="0" w:line="260" w:lineRule="auto"/>
        <w:tabs>
          <w:tab w:leader="none" w:pos="10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gains or losses from the remeasurement of our digital assets, as these assets are held to facilitate client trading rather than for proprietary trading purposes. Such remeasurement reflects mark-to-market (MTM) adjustments including the impairment losses of digital assets held under intangible assets that are not part of our ongoing business operations and do not align with our intention to avoid taking directional trading positions. The primary focus of our business model is to provide liquidity and facilitate client transactions on our Exchange, with the key performance metric being the bid-offer spread earned from digital asset spot transactions. Including MTM adjustments would introduce volatility that is not reflective of our core operational performance and could mislead stakeholders about the true drivers of our business;</w:t>
      </w:r>
    </w:p>
    <w:p>
      <w:pPr>
        <w:spacing w:after="0" w:line="337" w:lineRule="exact"/>
        <w:rPr>
          <w:rFonts w:ascii="Times New Roman" w:cs="Times New Roman" w:eastAsia="Times New Roman" w:hAnsi="Times New Roman"/>
          <w:sz w:val="15"/>
          <w:szCs w:val="15"/>
          <w:color w:val="auto"/>
        </w:rPr>
      </w:pPr>
    </w:p>
    <w:p>
      <w:pPr>
        <w:ind w:left="1080" w:right="20" w:hanging="271"/>
        <w:spacing w:after="0" w:line="286" w:lineRule="auto"/>
        <w:tabs>
          <w:tab w:leader="none" w:pos="10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non-cash charges such as share-based compensation expenses and depreciation and amortization because the amount of such expenses in any specific period may not directly correlate to the underlying performance of our business operations;</w:t>
      </w:r>
    </w:p>
    <w:p>
      <w:pPr>
        <w:spacing w:after="0" w:line="134" w:lineRule="exact"/>
        <w:rPr>
          <w:rFonts w:ascii="Times New Roman" w:cs="Times New Roman" w:eastAsia="Times New Roman" w:hAnsi="Times New Roman"/>
          <w:sz w:val="15"/>
          <w:szCs w:val="15"/>
          <w:color w:val="auto"/>
        </w:rPr>
      </w:pPr>
    </w:p>
    <w:p>
      <w:pPr>
        <w:ind w:left="1080" w:hanging="271"/>
        <w:spacing w:after="0"/>
        <w:tabs>
          <w:tab w:leader="none" w:pos="10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 for or benefit from income tax and finance expenses;</w:t>
      </w:r>
    </w:p>
    <w:p>
      <w:pPr>
        <w:spacing w:after="0" w:line="213" w:lineRule="exact"/>
        <w:rPr>
          <w:rFonts w:ascii="Times New Roman" w:cs="Times New Roman" w:eastAsia="Times New Roman" w:hAnsi="Times New Roman"/>
          <w:sz w:val="15"/>
          <w:szCs w:val="15"/>
          <w:color w:val="auto"/>
        </w:rPr>
      </w:pPr>
    </w:p>
    <w:p>
      <w:pPr>
        <w:ind w:left="1080" w:hanging="271"/>
        <w:spacing w:after="0"/>
        <w:tabs>
          <w:tab w:leader="none" w:pos="10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fair value of derivatives and financial liability at 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07" w:right="319" w:bottom="1440" w:gutter="0" w:footer="0" w:header="0"/>
        </w:sectPr>
      </w:pPr>
    </w:p>
    <w:bookmarkStart w:id="7" w:name="page8"/>
    <w:bookmarkEnd w:id="7"/>
    <w:p>
      <w:pPr>
        <w:jc w:val="both"/>
        <w:ind w:left="817" w:hanging="271"/>
        <w:spacing w:after="0" w:line="261" w:lineRule="auto"/>
        <w:tabs>
          <w:tab w:leader="none" w:pos="817" w:val="left"/>
        </w:tabs>
        <w:numPr>
          <w:ilvl w:val="2"/>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change in fair value of investments in financial assets related to digital asset funds. These investments are not central to our core operations, as they do not directly contribute to our primary business activities of liquidity provision and client facilitation. The fair value changes are primarily driven by the mark-to-market (MTM) adjustments of the underlying digital assets within the funds. Including these fair value changes would introduce volatility of digital assets that does not accurately represent the operational metrics that are indicative of our business performance. Our core operating performance focuses on providing liquidity and facilitating client transactions, and we aim to avoid taking directional trading positions;</w:t>
      </w:r>
    </w:p>
    <w:p>
      <w:pPr>
        <w:spacing w:after="0" w:line="152" w:lineRule="exact"/>
        <w:rPr>
          <w:rFonts w:ascii="Times New Roman" w:cs="Times New Roman" w:eastAsia="Times New Roman" w:hAnsi="Times New Roman"/>
          <w:sz w:val="15"/>
          <w:szCs w:val="15"/>
          <w:color w:val="auto"/>
        </w:rPr>
      </w:pPr>
    </w:p>
    <w:p>
      <w:pPr>
        <w:jc w:val="both"/>
        <w:ind w:left="817" w:hanging="271"/>
        <w:spacing w:after="0" w:line="261" w:lineRule="auto"/>
        <w:tabs>
          <w:tab w:leader="none" w:pos="817" w:val="left"/>
        </w:tabs>
        <w:numPr>
          <w:ilvl w:val="2"/>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acquisition-related and integration costs associated with business combinations, various restructuring and other costs, and goodwill impairment charges, all of which are not normal operating expenses. These adjustments aid in the comparability of our results across periods. Acquisition related costs include amounts paid to redeem acquirees’ unvested share-based compensation awards, legal, accounting, valuation, and due diligence costs. Integration costs include advisory and other professional services or consulting fees necessary to integrate acquired businesses. Restructuring and other costs that are not reflective of our core business operating expenses may include severance costs, contingent losses, impairment charges, and certain litigation and regulatory charges; and</w:t>
      </w:r>
    </w:p>
    <w:p>
      <w:pPr>
        <w:spacing w:after="0" w:line="152" w:lineRule="exact"/>
        <w:rPr>
          <w:rFonts w:ascii="Times New Roman" w:cs="Times New Roman" w:eastAsia="Times New Roman" w:hAnsi="Times New Roman"/>
          <w:sz w:val="15"/>
          <w:szCs w:val="15"/>
          <w:color w:val="auto"/>
        </w:rPr>
      </w:pPr>
    </w:p>
    <w:p>
      <w:pPr>
        <w:jc w:val="both"/>
        <w:ind w:left="817" w:hanging="271"/>
        <w:spacing w:after="0" w:line="264" w:lineRule="auto"/>
        <w:tabs>
          <w:tab w:leader="none" w:pos="817" w:val="left"/>
        </w:tabs>
        <w:numPr>
          <w:ilvl w:val="2"/>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net income from DeFi protocols, excluding the fair value change of underlying digital assets, which is a component of the “Revaluation of digital assets held as investments” under OCI. Deploying our digital assets in these protocols are a strategic component of our business model, providing additional yield and enhancing our liquidity management capabilities. Including this net income in Adjusted EBITDA reflects the performance of our investment activities and supports our focus on core operations.</w:t>
      </w:r>
    </w:p>
    <w:p>
      <w:pPr>
        <w:spacing w:after="0" w:line="145" w:lineRule="exact"/>
        <w:rPr>
          <w:rFonts w:ascii="Times New Roman" w:cs="Times New Roman" w:eastAsia="Times New Roman" w:hAnsi="Times New Roman"/>
          <w:sz w:val="15"/>
          <w:szCs w:val="15"/>
          <w:color w:val="auto"/>
        </w:rPr>
      </w:pPr>
    </w:p>
    <w:p>
      <w:pPr>
        <w:ind w:left="277" w:hanging="277"/>
        <w:spacing w:after="0" w:line="292" w:lineRule="auto"/>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Adjusted net income/(loss) </w:t>
      </w:r>
      <w:r>
        <w:rPr>
          <w:rFonts w:ascii="Times New Roman" w:cs="Times New Roman" w:eastAsia="Times New Roman" w:hAnsi="Times New Roman"/>
          <w:sz w:val="15"/>
          <w:szCs w:val="15"/>
          <w:color w:val="auto"/>
        </w:rPr>
        <w:t>is calculated as income/(loss) after tax adjusted by the same adjustment items taken into account for determining adjusted EBITDA, with further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adjustment to add back finance expense and depreciation and amortization, and reduced by tax effect of the adjustments.</w:t>
      </w:r>
    </w:p>
    <w:p>
      <w:pPr>
        <w:spacing w:after="0" w:line="125" w:lineRule="exact"/>
        <w:rPr>
          <w:rFonts w:ascii="Times New Roman" w:cs="Times New Roman" w:eastAsia="Times New Roman" w:hAnsi="Times New Roman"/>
          <w:sz w:val="15"/>
          <w:szCs w:val="15"/>
          <w:color w:val="auto"/>
        </w:rPr>
      </w:pPr>
    </w:p>
    <w:p>
      <w:pPr>
        <w:jc w:val="both"/>
        <w:ind w:left="277" w:hanging="277"/>
        <w:spacing w:after="0" w:line="272" w:lineRule="auto"/>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Adjusted operating expense </w:t>
      </w:r>
      <w:r>
        <w:rPr>
          <w:rFonts w:ascii="Times New Roman" w:cs="Times New Roman" w:eastAsia="Times New Roman" w:hAnsi="Times New Roman"/>
          <w:sz w:val="15"/>
          <w:szCs w:val="15"/>
          <w:color w:val="auto"/>
        </w:rPr>
        <w:t>is calculated by taking total operating expenses (which includes Administrative expenses and Other expenses) and excluding items we do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 representative of our core, ongoing operating performance. These excluded items are Stock-based compensation expense, Depreciation and amortization expense, and certain non-recurring expenses.</w:t>
      </w:r>
    </w:p>
    <w:p>
      <w:pPr>
        <w:spacing w:after="0" w:line="167" w:lineRule="exact"/>
        <w:rPr>
          <w:rFonts w:ascii="Times New Roman" w:cs="Times New Roman" w:eastAsia="Times New Roman" w:hAnsi="Times New Roman"/>
          <w:sz w:val="15"/>
          <w:szCs w:val="15"/>
          <w:color w:val="auto"/>
        </w:rPr>
      </w:pPr>
    </w:p>
    <w:p>
      <w:pPr>
        <w:jc w:val="both"/>
        <w:ind w:left="277"/>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believe Adjusted operating expense is a useful supplemental measure for investors, as it provides a clearer view of our operational efficiency by removing non-cash expenses (depreciation, amortization, and stock-based compensation) and other items not indicative of ongoing business trends. Management uses this measure to assess business performance and to plan for future periods.</w:t>
      </w:r>
    </w:p>
    <w:p>
      <w:pPr>
        <w:spacing w:after="0" w:line="142" w:lineRule="exact"/>
        <w:rPr>
          <w:rFonts w:ascii="Times New Roman" w:cs="Times New Roman" w:eastAsia="Times New Roman" w:hAnsi="Times New Roman"/>
          <w:sz w:val="15"/>
          <w:szCs w:val="15"/>
          <w:color w:val="auto"/>
        </w:rPr>
      </w:pPr>
    </w:p>
    <w:p>
      <w:pPr>
        <w:jc w:val="both"/>
        <w:ind w:left="277" w:hanging="277"/>
        <w:spacing w:after="0" w:line="259" w:lineRule="auto"/>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Subscription, services &amp; other revenue </w:t>
      </w:r>
      <w:r>
        <w:rPr>
          <w:rFonts w:ascii="Times New Roman" w:cs="Times New Roman" w:eastAsia="Times New Roman" w:hAnsi="Times New Roman"/>
          <w:sz w:val="15"/>
          <w:szCs w:val="15"/>
          <w:color w:val="auto"/>
        </w:rPr>
        <w:t>is a non-IFRS financial measure intended to provide a comprehensive view of our diverse revenue streams beyond core transaction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fees and spreads. This measure includes revenue from lending and liquidity services, such as interest earned from third-party lending arrangements like credit line facilities and margin loans, interest on our own cash and stablecoins, fees from liquidity services and promotional income, and revenues from CoinDesk services such as sponsorships, event admissions, and index data licensing fees. It also incorporates the net income from DeFi protocols (excluding any fair value changes of the underlying digital assets). This non-IFRS measure is calculated by taking "Subscription and services revenue" (as reported within the "Other revenues") and adding "Net income from DeFi protocols, excluding the fair value change of underlying digital assets" (as reported within “Revaluation of digital assets held as investments”). By consolidating these various income sources, we believe this measure offers a more distinct view of the growth and performance of our service-oriented business lines, separate from our core transaction-based revenues.</w:t>
      </w:r>
    </w:p>
    <w:p>
      <w:pPr>
        <w:spacing w:after="0" w:line="150" w:lineRule="exact"/>
        <w:rPr>
          <w:rFonts w:ascii="Times New Roman" w:cs="Times New Roman" w:eastAsia="Times New Roman" w:hAnsi="Times New Roman"/>
          <w:sz w:val="15"/>
          <w:szCs w:val="15"/>
          <w:color w:val="auto"/>
        </w:rPr>
      </w:pPr>
    </w:p>
    <w:p>
      <w:pPr>
        <w:ind w:left="277" w:right="20" w:hanging="277"/>
        <w:spacing w:after="0" w:line="292" w:lineRule="auto"/>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Trading volume </w:t>
      </w:r>
      <w:r>
        <w:rPr>
          <w:rFonts w:ascii="Times New Roman" w:cs="Times New Roman" w:eastAsia="Times New Roman" w:hAnsi="Times New Roman"/>
          <w:sz w:val="15"/>
          <w:szCs w:val="15"/>
          <w:color w:val="auto"/>
        </w:rPr>
        <w:t>represents the notional value of trades, i.e., the product of the quantity of assets transacted and the trade price at the time the spot transaction was executed.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quantity represents the total U.S. dollar equivalent value of matched trades transacted between a buyer and seller through our platform during the period of measurement.</w:t>
      </w:r>
    </w:p>
    <w:p>
      <w:pPr>
        <w:spacing w:after="0" w:line="125" w:lineRule="exact"/>
        <w:rPr>
          <w:rFonts w:ascii="Times New Roman" w:cs="Times New Roman" w:eastAsia="Times New Roman" w:hAnsi="Times New Roman"/>
          <w:sz w:val="15"/>
          <w:szCs w:val="15"/>
          <w:color w:val="auto"/>
        </w:rPr>
      </w:pPr>
    </w:p>
    <w:p>
      <w:pPr>
        <w:ind w:left="277" w:hanging="277"/>
        <w:spacing w:after="0"/>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Average daily volume </w:t>
      </w:r>
      <w:r>
        <w:rPr>
          <w:rFonts w:ascii="Times New Roman" w:cs="Times New Roman" w:eastAsia="Times New Roman" w:hAnsi="Times New Roman"/>
          <w:sz w:val="15"/>
          <w:szCs w:val="15"/>
          <w:color w:val="auto"/>
        </w:rPr>
        <w:t>represents the total Trading volume for the applicable period divided by the number of trading days in such period.</w:t>
      </w:r>
    </w:p>
    <w:p>
      <w:pPr>
        <w:spacing w:after="0" w:line="213" w:lineRule="exact"/>
        <w:rPr>
          <w:rFonts w:ascii="Times New Roman" w:cs="Times New Roman" w:eastAsia="Times New Roman" w:hAnsi="Times New Roman"/>
          <w:sz w:val="15"/>
          <w:szCs w:val="15"/>
          <w:color w:val="auto"/>
        </w:rPr>
      </w:pPr>
    </w:p>
    <w:p>
      <w:pPr>
        <w:jc w:val="both"/>
        <w:ind w:left="277" w:hanging="277"/>
        <w:spacing w:after="0" w:line="272" w:lineRule="auto"/>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Average trading spread </w:t>
      </w:r>
      <w:r>
        <w:rPr>
          <w:rFonts w:ascii="Times New Roman" w:cs="Times New Roman" w:eastAsia="Times New Roman" w:hAnsi="Times New Roman"/>
          <w:sz w:val="15"/>
          <w:szCs w:val="15"/>
          <w:color w:val="auto"/>
        </w:rPr>
        <w:t>represents total commissions earned from transactions on the Bullish Exchange for the period, expressed in basis points (bps) of the trading volume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period. Management reviews this metric, which reflects the cost of trading on the Bullish Exchange, changes in fair value of perpetual futures, and rebates, for insight into the average revenue generated per unit of trading volume on our platform.</w:t>
      </w:r>
    </w:p>
    <w:p>
      <w:pPr>
        <w:spacing w:after="0" w:line="163" w:lineRule="exact"/>
        <w:rPr>
          <w:rFonts w:ascii="Times New Roman" w:cs="Times New Roman" w:eastAsia="Times New Roman" w:hAnsi="Times New Roman"/>
          <w:sz w:val="15"/>
          <w:szCs w:val="15"/>
          <w:color w:val="auto"/>
        </w:rPr>
      </w:pPr>
    </w:p>
    <w:p>
      <w:pPr>
        <w:ind w:left="277" w:hanging="277"/>
        <w:spacing w:after="0" w:line="292" w:lineRule="auto"/>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Gross liquid assets </w:t>
      </w:r>
      <w:r>
        <w:rPr>
          <w:rFonts w:ascii="Times New Roman" w:cs="Times New Roman" w:eastAsia="Times New Roman" w:hAnsi="Times New Roman"/>
          <w:sz w:val="15"/>
          <w:szCs w:val="15"/>
          <w:color w:val="auto"/>
        </w:rPr>
        <w:t>is defined as the sum of (i) Digital assets held — inventories, (ii) Digital assets held — intangible assets, (iii) Digital assets held — financial assets, (iv)</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Loans and other receivables — digital assets, (v) Investments in financial assets, and (vi) Cash and cash equivalents.</w:t>
      </w:r>
    </w:p>
    <w:p>
      <w:pPr>
        <w:spacing w:after="0" w:line="148" w:lineRule="exact"/>
        <w:rPr>
          <w:rFonts w:ascii="Times New Roman" w:cs="Times New Roman" w:eastAsia="Times New Roman" w:hAnsi="Times New Roman"/>
          <w:sz w:val="15"/>
          <w:szCs w:val="15"/>
          <w:color w:val="auto"/>
        </w:rPr>
      </w:pPr>
    </w:p>
    <w:p>
      <w:pPr>
        <w:ind w:left="277" w:hanging="277"/>
        <w:spacing w:after="0"/>
        <w:tabs>
          <w:tab w:leader="none" w:pos="2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liquid assets </w:t>
      </w:r>
      <w:r>
        <w:rPr>
          <w:rFonts w:ascii="Times New Roman" w:cs="Times New Roman" w:eastAsia="Times New Roman" w:hAnsi="Times New Roman"/>
          <w:sz w:val="15"/>
          <w:szCs w:val="15"/>
          <w:color w:val="auto"/>
        </w:rPr>
        <w:t>is defined as Gross liquid assets, reduced by (i) Digital assets held — inventories, (ii) the portion of Digital assets held — financial assets on our Exchange,</w:t>
      </w:r>
    </w:p>
    <w:p>
      <w:pPr>
        <w:spacing w:after="0" w:line="28" w:lineRule="exact"/>
        <w:rPr>
          <w:rFonts w:ascii="Times New Roman" w:cs="Times New Roman" w:eastAsia="Times New Roman" w:hAnsi="Times New Roman"/>
          <w:sz w:val="15"/>
          <w:szCs w:val="15"/>
          <w:color w:val="auto"/>
        </w:rPr>
      </w:pPr>
    </w:p>
    <w:p>
      <w:pPr>
        <w:ind w:left="537" w:hanging="264"/>
        <w:spacing w:after="0"/>
        <w:tabs>
          <w:tab w:leader="none" w:pos="537"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Cash and cash equivalents on our Exchange, (iv) Borrowings, (v) Borrowings from related parties, and (iv) Digital assets loan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308610</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997"/>
          </w:cols>
          <w:pgMar w:left="583" w:top="51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color w:val="auto"/>
        </w:rPr>
        <w:t>BULLISH</w:t>
      </w:r>
    </w:p>
    <w:p>
      <w:pPr>
        <w:spacing w:after="0" w:line="28" w:lineRule="exact"/>
        <w:rPr>
          <w:sz w:val="20"/>
          <w:szCs w:val="20"/>
          <w:color w:val="auto"/>
        </w:rPr>
      </w:pPr>
    </w:p>
    <w:p>
      <w:pPr>
        <w:ind w:right="1860"/>
        <w:spacing w:after="0" w:line="265" w:lineRule="auto"/>
        <w:rPr>
          <w:sz w:val="20"/>
          <w:szCs w:val="20"/>
          <w:color w:val="auto"/>
        </w:rPr>
      </w:pPr>
      <w:r>
        <w:rPr>
          <w:rFonts w:ascii="Times New Roman" w:cs="Times New Roman" w:eastAsia="Times New Roman" w:hAnsi="Times New Roman"/>
          <w:sz w:val="15"/>
          <w:szCs w:val="15"/>
          <w:b w:val="1"/>
          <w:bCs w:val="1"/>
          <w:color w:val="auto"/>
        </w:rPr>
        <w:t>CONDENSED CONSOLIDATED STATEMENTS OF PROFIT OR LOSS AND OTHER COMPREHENSIVE INCOME/(LOSS) (UNAUDITED) FOR THE THREE AND TWELVE MONTHS ENDED DECEMBER 31, 2025 AND 2024 (In thousands, except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5"/>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9"/>
              </w:rPr>
              <w:t>Twelve months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assets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64,345,078</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66,026,131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244,811,387</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250,201,282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Cost of digital assets derecognized</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(64,323,568)</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(66,001,337)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(244,733,087)</w:t>
            </w:r>
          </w:p>
        </w:tc>
        <w:tc>
          <w:tcPr>
            <w:tcW w:w="2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(250,104,770)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revenues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56,195</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14,473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158,941</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61,967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digital assets held, net</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(485,175)</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186,029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(674,968)</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207,043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spread related income and change in fair value of perpetual futures on the Exchange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(886)</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(3,228)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(7,179)</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(17,139)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investment in financial assets</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(105,555)</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27,369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(36,034)</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29,453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Administrative expenses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(46,276)</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(37,082)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(182,188)</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(153,119)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(14,392)</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(12,635)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(60,425)</w:t>
            </w:r>
          </w:p>
        </w:tc>
        <w:tc>
          <w:tcPr>
            <w:tcW w:w="2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(46,079)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expense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(14,932)</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(10,659)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(52,369)</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(38,529)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derivatives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17,521</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(12,867)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9,609</w:t>
            </w:r>
          </w:p>
        </w:tc>
        <w:tc>
          <w:tcPr>
            <w:tcW w:w="2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(12,190)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financial liability at FVTPL</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(13,950)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(20,100)</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(43,350)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Income/(loss) before income tax</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(565,090)</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162,244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(786,413)</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84,569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benefit/(expense)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(3,782)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944</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income/(loss)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(563,567)</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158,462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(785,469)</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79,564</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Attributable to:</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Owners of the Group</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(546,598)</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157,033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(764,681)</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78,527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(16,969)</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(20,788)</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(563,567)</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158,462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(785,469)</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79,564</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comprehensive income/(loss)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Items that will not be subsequently reclassified to profit or loss: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Revaluation of digital assets held as investments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(123,816)</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575,424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409,644</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1,020,339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Fair value gain/(loss) on financial liabilities designated as at FVTPL attributable to changes in</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(11,450)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(3,050)</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(16,350)</w:t>
            </w:r>
          </w:p>
        </w:tc>
        <w:tc>
          <w:tcPr>
            <w:tcW w:w="0" w:type="dxa"/>
            <w:vAlign w:val="bottom"/>
          </w:tcPr>
          <w:p>
            <w:pPr>
              <w:spacing w:after="0"/>
              <w:rPr>
                <w:sz w:val="1"/>
                <w:szCs w:val="1"/>
                <w:color w:val="auto"/>
              </w:rPr>
            </w:pPr>
          </w:p>
        </w:tc>
      </w:tr>
      <w:tr>
        <w:trPr>
          <w:trHeight w:val="185"/>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credit risk</w:t>
            </w: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(122,466)</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563,974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406,594</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1,003,989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Items that may be reclassified subsequently to profit or loss: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exchange differences on translation of foreign operations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1,676</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(712)</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comprehensive income/(loss)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(685,992)</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721,724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(377,199)</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1,082,841</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Attributable to:</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Owners of the Group</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(695,383)</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714,757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(436,588)</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1,072,710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9,391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6,967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59,389</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10,131</w:t>
            </w:r>
          </w:p>
        </w:tc>
        <w:tc>
          <w:tcPr>
            <w:tcW w:w="0" w:type="dxa"/>
            <w:vAlign w:val="bottom"/>
          </w:tcPr>
          <w:p>
            <w:pPr>
              <w:spacing w:after="0"/>
              <w:rPr>
                <w:sz w:val="1"/>
                <w:szCs w:val="1"/>
                <w:color w:val="auto"/>
              </w:rPr>
            </w:pPr>
          </w:p>
        </w:tc>
      </w:tr>
      <w:tr>
        <w:trPr>
          <w:trHeight w:val="173"/>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comprehensive income/(loss)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(685,992</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721,724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(377,199</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1,082,841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940" w:type="dxa"/>
            <w:vAlign w:val="bottom"/>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Weighted average number of ordinary shares for the purposes of basic and diluted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earnings/(loss) per share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Basic</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150,924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113,153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127,723</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112,664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Diluted</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150,924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115,889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127,723</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115,400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Earnings/(Loss) per share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(3.73)</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(6.15)</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(3.73)</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(6.15)</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0.68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color w:val="auto"/>
        </w:rPr>
        <w:t>BULLISH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 OF DECEMBER 31, 2025 AND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63,062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61,475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Other intangible assets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31,104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33,298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and right-of-use assets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28,369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14,118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22,087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non-current assets</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152,438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135,034</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CCEEFF"/>
            </w:tcBorders>
          </w:tcPr>
          <w:p>
            <w:pPr>
              <w:spacing w:after="0"/>
              <w:rPr>
                <w:sz w:val="15"/>
                <w:szCs w:val="15"/>
                <w:color w:val="auto"/>
              </w:rPr>
            </w:pPr>
          </w:p>
        </w:tc>
        <w:tc>
          <w:tcPr>
            <w:tcW w:w="20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Digital assets held - inventories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206,178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573,876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assets held - intangible assets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1,537,071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1,878,268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Digital assets held - financial assets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1,037,915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132,649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Loan and other receivables - digital assets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446,481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166,388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Derivative financial instruments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 in financial assets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404,144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86,173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47,502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21,209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segregated cash</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20,044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16,839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15,893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87,892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31,540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3,804,066</w:t>
            </w:r>
          </w:p>
        </w:tc>
        <w:tc>
          <w:tcPr>
            <w:tcW w:w="14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2,912,378</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3,956,504</w:t>
            </w:r>
          </w:p>
        </w:tc>
        <w:tc>
          <w:tcPr>
            <w:tcW w:w="14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3,047,412</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Borrowings from related parties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505,600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482,450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redeemable preference shares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47,879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Digital assets loan payable</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14,378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10,756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payables</w:t>
            </w:r>
          </w:p>
        </w:tc>
        <w:tc>
          <w:tcPr>
            <w:tcW w:w="2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Total non-current liabilities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528,263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561,704</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segregated cash liabilities</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20,044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Borrowings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49,982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assets loan payable</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5,524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payables</w:t>
            </w:r>
          </w:p>
        </w:tc>
        <w:tc>
          <w:tcPr>
            <w:tcW w:w="2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54,028</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49,421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129,912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85,049</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658,175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646,753</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3,298,329</w:t>
            </w:r>
          </w:p>
        </w:tc>
        <w:tc>
          <w:tcPr>
            <w:tcW w:w="14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2,400,659</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capital and share premium</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5,110,063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3,821,537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Option premium on convertible redeemable preference shares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18,399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Reserves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774,224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858,797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(2,656,325)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(2,309,053)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shareholders' equity attributable to the owners of the Group</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3,227,962</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2,389,680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70,367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10,979</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CCEEFF"/>
            </w:tcBorders>
          </w:tcPr>
          <w:p>
            <w:pPr>
              <w:spacing w:after="0"/>
              <w:rPr>
                <w:sz w:val="15"/>
                <w:szCs w:val="15"/>
                <w:color w:val="auto"/>
              </w:rPr>
            </w:pPr>
          </w:p>
        </w:tc>
        <w:tc>
          <w:tcPr>
            <w:tcW w:w="20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3,298,329</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2,400,659</w:t>
            </w: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5940" w:type="dxa"/>
            <w:vAlign w:val="bottom"/>
            <w:tcBorders>
              <w:top w:val="single" w:sz="8" w:color="CCEEFF"/>
              <w:bottom w:val="single" w:sz="8" w:color="auto"/>
            </w:tcBorders>
          </w:tcPr>
          <w:p>
            <w:pPr>
              <w:spacing w:after="0"/>
              <w:rPr>
                <w:sz w:val="24"/>
                <w:szCs w:val="24"/>
                <w:color w:val="auto"/>
              </w:rPr>
            </w:pPr>
          </w:p>
        </w:tc>
        <w:tc>
          <w:tcPr>
            <w:tcW w:w="20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t>Non-IFRS Measures Summarized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ind w:left="740"/>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54"/>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00"/>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20"/>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Non-IFRS Financial Measures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Adjusted Transaction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37,929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40,996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130,739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153,247</w:t>
            </w: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Revenue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92,508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55,183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288,455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213,912</w:t>
            </w: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44,450</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15,771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94,271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52,102</w:t>
            </w: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Net Income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28,864</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4,039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38,792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9,622</w:t>
            </w:r>
          </w:p>
        </w:tc>
      </w:tr>
      <w:tr>
        <w:trPr>
          <w:trHeight w:val="197"/>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Adjusted Operating Expenses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48,058</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39,411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194,184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161,795</w:t>
            </w: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Period ended</w:t>
            </w:r>
          </w:p>
        </w:tc>
      </w:tr>
      <w:tr>
        <w:trPr>
          <w:trHeight w:val="154"/>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0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0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8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Liquid Assets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3,719,681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2,868,894</w:t>
            </w:r>
          </w:p>
        </w:tc>
      </w:tr>
      <w:tr>
        <w:trPr>
          <w:trHeight w:val="197"/>
        </w:trPr>
        <w:tc>
          <w:tcPr>
            <w:tcW w:w="20" w:type="dxa"/>
            <w:vAlign w:val="bottom"/>
          </w:tcPr>
          <w:p>
            <w:pPr>
              <w:spacing w:after="0"/>
              <w:rPr>
                <w:sz w:val="17"/>
                <w:szCs w:val="17"/>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Liquid Assets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2,859,701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1,696,127</w:t>
            </w:r>
          </w:p>
        </w:tc>
      </w:tr>
      <w:tr>
        <w:trPr>
          <w:trHeight w:val="465"/>
        </w:trPr>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auto"/>
        </w:rPr>
        <w:t>Reconciliation of Non-IFRS Measures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jc w:val="right"/>
              <w:ind w:right="96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40"/>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20"/>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9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Adjusted Transaction Revenue and Adjusted Revenue</w:t>
            </w:r>
          </w:p>
        </w:tc>
        <w:tc>
          <w:tcPr>
            <w:tcW w:w="1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assets sales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64,345,078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66,026,131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244,811,387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250,201,282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Digital asset sales on venues other than Exchange</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(36,583)</w:t>
            </w: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(396,424)</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(21,821)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 sales - on our Exchange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64,308,495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66,024,007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244,414,963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250,179,461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digital assets derecognized - on our Exchange</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(64,286,992)</w:t>
            </w: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(65,999,234)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(244,336,500)</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(250,082,963)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Change in fair value of digital assets inventories, arising from purchase of digital assets on our</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15,670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18,662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56,031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71,685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 income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3,424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spread related income and change in fair value of perpetual futures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(886)</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(7,179)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(17,139)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Transaction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37,929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40,996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130,739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153,247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Subscriptions and services revenue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54,554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13,684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155,517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59,764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fair value of investment in financial assets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Revaluation of digital assets held as investments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2,199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92,508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55,183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288,455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213,912</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EBITDA and Adjusted Net Income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Income/(loss)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(563,567)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158,462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(785,469)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79,564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Adjusted to exclude the following:</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Digital asset sales on other venues</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(36,583)</w:t>
            </w: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(396,424)</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(21,821)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Cost of digital assets derecognized on other venues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36,576</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396,586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21,807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Loss/(Gain) from changes in fair value of digital assets inventories net payable to customers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(131,742)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208,577</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(130,732)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 expense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(1,523)</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(944)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Finance expenses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14,932</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10,659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52,369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38,529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Employee share-based payment expenses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15,567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22,587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Other share-based payment expenses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628</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 in fair value of loan and other receivables - digital assets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64,268</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(48,510)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24,994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(43,676)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Change in fair value of digital assets loan payable</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(2,873)</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14,339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14,449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 in fair value of derivatives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(17,521)</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12,867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(9,609)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12,191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Change in fair value of financial liability at FVTPL</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(6,900)</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13,950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20,100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43,350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 in fair value of investments in financial assets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105,555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(27,369)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36,034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(29,286)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Impairment losses of digital assets held - intangible assets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319,209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497,443</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24,601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Impairment of right-of-use assets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Non-recurring expenses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29,172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576</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3,063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Adjusted to include the following:</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Revaluation of digital assets held as investments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2,199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44,450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15,771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94,271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52,102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Finance expenses</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(14,932)</w:t>
            </w: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(10,659)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(52,369)</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(38,529)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(576)</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(3,063)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(3,826)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Tax effect of adjusted net income before taxes</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28,864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4,039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38,792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9,622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Note - Figures presented may not sum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0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color w:val="auto"/>
        </w:rPr>
        <w:t>Gross and Net Liquid 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assets held - inventories</w:t>
            </w:r>
          </w:p>
        </w:tc>
        <w:tc>
          <w:tcPr>
            <w:tcW w:w="2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206,178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573,876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Digital assets held - intangible assets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1,537,071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1,878,268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 assets held - financial assets (on Exchange)</w:t>
            </w: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84,993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67,526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Digital assets held - financial assets (off Exchange)</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952,922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65,123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Loan and other receivable</w:t>
            </w: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446,481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166,388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Investments in financial assets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404,144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86,173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87,892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31,540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Gross Liquid Assets</w:t>
            </w:r>
          </w:p>
        </w:tc>
        <w:tc>
          <w:tcPr>
            <w:tcW w:w="23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3,719,681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2,868,894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6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 Digital assets held - inventories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(206,178)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(573,876)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Digital assets held - financial assets (on Exchange)</w:t>
            </w: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(84,993)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(67,528)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 Digital assets loan payable</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(20,613)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Borrowings</w:t>
            </w: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(49,982)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 Borrowings from related parties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(505,600)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(482,450)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Cash on the Exchange</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(7,626)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(3,300)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Net Liquid Assets</w:t>
            </w:r>
          </w:p>
        </w:tc>
        <w:tc>
          <w:tcPr>
            <w:tcW w:w="23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2,859,701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1,696,127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Note - Figures presented may not sum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539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0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color w:val="auto"/>
        </w:rPr>
        <w:t>Reconciliation of Adjusted Operating Expense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ind w:left="74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40"/>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20"/>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9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IFRS Core Operating Expense to Adjusted Operating Expense</w:t>
            </w:r>
          </w:p>
        </w:tc>
        <w:tc>
          <w:tcPr>
            <w:tcW w:w="1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IFRS Core Operating Expense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60,669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49,717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242,614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199,199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for</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Employee share-based compensation expense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15,567</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22,587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share-based compensation expense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Non-recurring expenses - legal and professional fees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4,322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25,292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7,245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Non-recurring expenses - compensation and benefits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974</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3,880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576</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3,063</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3,826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Operating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48,058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39,411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194,184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161,795</w:t>
            </w:r>
          </w:p>
        </w:tc>
        <w:tc>
          <w:tcPr>
            <w:tcW w:w="0" w:type="dxa"/>
            <w:vAlign w:val="bottom"/>
          </w:tcPr>
          <w:p>
            <w:pPr>
              <w:spacing w:after="0"/>
              <w:rPr>
                <w:sz w:val="1"/>
                <w:szCs w:val="1"/>
                <w:color w:val="auto"/>
              </w:rPr>
            </w:pPr>
          </w:p>
        </w:tc>
      </w:tr>
      <w:tr>
        <w:trPr>
          <w:trHeight w:val="345"/>
        </w:trPr>
        <w:tc>
          <w:tcPr>
            <w:tcW w:w="596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Note - Figures presented may not sum precisely due to rounding.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7" w:right="319" w:bottom="1440" w:gutter="0" w:footer="0" w:header="0"/>
        </w:sectPr>
      </w:pPr>
    </w:p>
    <w:bookmarkStart w:id="14" w:name="page15"/>
    <w:bookmarkEnd w:id="14"/>
    <w:p>
      <w:pPr>
        <w:ind w:left="936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133350</wp:posOffset>
            </wp:positionV>
            <wp:extent cx="7153910" cy="3966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206615" cy="4377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206615" cy="4377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206615" cy="4377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206615" cy="4377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206615" cy="4377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206615" cy="4377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219075</wp:posOffset>
            </wp:positionV>
            <wp:extent cx="7153910" cy="3966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218440</wp:posOffset>
            </wp:positionV>
            <wp:extent cx="7153910" cy="3966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396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528955</wp:posOffset>
            </wp:positionH>
            <wp:positionV relativeFrom="page">
              <wp:posOffset>218440</wp:posOffset>
            </wp:positionV>
            <wp:extent cx="6490335" cy="3649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490335" cy="3649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2026-02-05T05:48:10Z</dcterms:created>
  <dcterms:modified xsi:type="dcterms:W3CDTF">2026-02-05T05:48:10Z</dcterms:modified>
</cp:coreProperties>
</file>