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17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Report of Foreign Private Issuer</w:t>
      </w:r>
    </w:p>
    <w:p>
      <w:pPr>
        <w:spacing w:after="0" w:line="22"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Pursuant to Rule 13a-16 or 15d-16 of</w:t>
      </w:r>
    </w:p>
    <w:p>
      <w:pPr>
        <w:spacing w:after="0" w:line="4"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5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 xml:space="preserve">For the month of </w:t>
      </w:r>
      <w:r>
        <w:rPr>
          <w:rFonts w:ascii="Times New Roman" w:cs="Times New Roman" w:eastAsia="Times New Roman" w:hAnsi="Times New Roman"/>
          <w:sz w:val="14"/>
          <w:szCs w:val="14"/>
          <w:b w:val="1"/>
          <w:bCs w:val="1"/>
          <w:color w:val="auto"/>
        </w:rPr>
        <w:t>May 2026</w:t>
      </w:r>
    </w:p>
    <w:p>
      <w:pPr>
        <w:spacing w:after="0" w:line="17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 xml:space="preserve">Commission File No. </w:t>
      </w:r>
      <w:r>
        <w:rPr>
          <w:rFonts w:ascii="Times New Roman" w:cs="Times New Roman" w:eastAsia="Times New Roman" w:hAnsi="Times New Roman"/>
          <w:sz w:val="14"/>
          <w:szCs w:val="14"/>
          <w:b w:val="1"/>
          <w:bCs w:val="1"/>
          <w:color w:val="auto"/>
        </w:rPr>
        <w:t>001-42797</w:t>
      </w:r>
    </w:p>
    <w:p>
      <w:pPr>
        <w:spacing w:after="0" w:line="15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5"/>
          <w:szCs w:val="25"/>
          <w:b w:val="1"/>
          <w:bCs w:val="1"/>
          <w:color w:val="auto"/>
        </w:rPr>
        <w:t>BULLISH</w:t>
      </w:r>
    </w:p>
    <w:p>
      <w:pPr>
        <w:spacing w:after="0" w:line="176"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Office 101, 103, 105 Suite 70202, Unit 7A-2B, 2nd Floor</w:t>
      </w:r>
    </w:p>
    <w:p>
      <w:pPr>
        <w:spacing w:after="0" w:line="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Building A, Block 7, 60 Nexus Way, Camana Bay,</w:t>
      </w:r>
    </w:p>
    <w:p>
      <w:pPr>
        <w:spacing w:after="0" w:line="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George Town, Grand Cayman, Cayman Islands, KY1-9005</w:t>
      </w:r>
    </w:p>
    <w:p>
      <w:pPr>
        <w:spacing w:after="0" w:line="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(Address of principal executive office)</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39" w:lineRule="exact"/>
        <w:rPr>
          <w:sz w:val="24"/>
          <w:szCs w:val="24"/>
          <w:color w:val="auto"/>
        </w:rPr>
      </w:pPr>
    </w:p>
    <w:p>
      <w:pPr>
        <w:ind w:left="4880"/>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716470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159"/>
          </w:cols>
          <w:pgMar w:left="300" w:top="35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INFORMATION CONTAINED IN THIS REPORT ON FORM 6-K</w:t>
      </w:r>
    </w:p>
    <w:p>
      <w:pPr>
        <w:spacing w:after="0" w:line="33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On May 14, 2026, Bullish issued a press release titled “Bullish Reports First Quarter 2026 Results.” A copy of the press release, the unaudited first quarter 2026 results and the earnings presentation are furnished as Exhibits 99.1, 99.2 and 99.3, respectively, to this report on Form 6-K.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4" w:lineRule="exact"/>
        <w:rPr>
          <w:sz w:val="20"/>
          <w:szCs w:val="20"/>
          <w:color w:val="auto"/>
        </w:rPr>
      </w:pPr>
    </w:p>
    <w:p>
      <w:pPr>
        <w:jc w:val="both"/>
        <w:ind w:right="500"/>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unaudited condensed consolidated statements of profit or loss and other comprehensive income/(loss), unaudited condensed consolidated balance sheets and unaudited condensed consolidated statements of cash flows attached as Exhibit 99.2 to this report on Form 6-K are hereby incorporated by reference into Bullish’s registration statement on </w:t>
      </w:r>
      <w:hyperlink r:id="rId9">
        <w:r>
          <w:rPr>
            <w:rFonts w:ascii="Times New Roman" w:cs="Times New Roman" w:eastAsia="Times New Roman" w:hAnsi="Times New Roman"/>
            <w:sz w:val="14"/>
            <w:szCs w:val="14"/>
            <w:u w:val="single" w:color="auto"/>
            <w:color w:val="0000EE"/>
          </w:rPr>
          <w:t>Form S-8</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(Registration No. 333- 289553) (including any prospectuses forming a part of such registration statement),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4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INDEX TO EXHIBITS</w:t>
            </w:r>
          </w:p>
        </w:tc>
      </w:tr>
      <w:tr>
        <w:trPr>
          <w:trHeight w:val="299"/>
        </w:trPr>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Exhibit No.</w:t>
            </w:r>
          </w:p>
        </w:tc>
        <w:tc>
          <w:tcPr>
            <w:tcW w:w="16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Description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45"/>
        </w:trPr>
        <w:tc>
          <w:tcPr>
            <w:tcW w:w="2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9"/>
              </w:rPr>
              <w:t>99.</w:t>
            </w:r>
            <w:r>
              <w:rPr>
                <w:rFonts w:ascii="Times New Roman" w:cs="Times New Roman" w:eastAsia="Times New Roman" w:hAnsi="Times New Roman"/>
                <w:sz w:val="14"/>
                <w:szCs w:val="14"/>
                <w:u w:val="single" w:color="auto"/>
                <w:color w:val="auto"/>
                <w:w w:val="89"/>
              </w:rPr>
              <w:t>1</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20" w:type="dxa"/>
            <w:vAlign w:val="bottom"/>
            <w:gridSpan w:val="7"/>
          </w:tcPr>
          <w:p>
            <w:pPr>
              <w:ind w:left="640"/>
              <w:spacing w:after="0" w:line="145" w:lineRule="exact"/>
              <w:rPr>
                <w:sz w:val="20"/>
                <w:szCs w:val="20"/>
                <w:color w:val="auto"/>
              </w:rPr>
            </w:pPr>
            <w:r>
              <w:rPr>
                <w:rFonts w:ascii="Times New Roman" w:cs="Times New Roman" w:eastAsia="Times New Roman" w:hAnsi="Times New Roman"/>
                <w:sz w:val="14"/>
                <w:szCs w:val="14"/>
                <w:color w:val="0000EE"/>
              </w:rPr>
              <w:t>Bullish Reports First Quarter 2026 Results</w:t>
            </w: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45"/>
        </w:trPr>
        <w:tc>
          <w:tcPr>
            <w:tcW w:w="2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9"/>
              </w:rPr>
              <w:t>99.</w:t>
            </w:r>
            <w:r>
              <w:rPr>
                <w:rFonts w:ascii="Times New Roman" w:cs="Times New Roman" w:eastAsia="Times New Roman" w:hAnsi="Times New Roman"/>
                <w:sz w:val="14"/>
                <w:szCs w:val="14"/>
                <w:u w:val="single" w:color="auto"/>
                <w:color w:val="auto"/>
                <w:w w:val="89"/>
              </w:rPr>
              <w:t>2</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3"/>
          </w:tcPr>
          <w:p>
            <w:pPr>
              <w:ind w:left="640"/>
              <w:spacing w:after="0" w:line="145" w:lineRule="exact"/>
              <w:rPr>
                <w:sz w:val="20"/>
                <w:szCs w:val="20"/>
                <w:color w:val="auto"/>
              </w:rPr>
            </w:pPr>
            <w:r>
              <w:rPr>
                <w:rFonts w:ascii="Times New Roman" w:cs="Times New Roman" w:eastAsia="Times New Roman" w:hAnsi="Times New Roman"/>
                <w:sz w:val="14"/>
                <w:szCs w:val="14"/>
                <w:color w:val="0000EE"/>
                <w:w w:val="96"/>
              </w:rPr>
              <w:t>First Quarter 2026</w:t>
            </w:r>
          </w:p>
        </w:tc>
        <w:tc>
          <w:tcPr>
            <w:tcW w:w="83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color w:val="0000EE"/>
              </w:rPr>
              <w:t>Unaudited Condensed Consolidated Financial Statements</w:t>
            </w:r>
          </w:p>
        </w:tc>
      </w:tr>
      <w:tr>
        <w:trPr>
          <w:trHeight w:val="20"/>
        </w:trPr>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145"/>
        </w:trPr>
        <w:tc>
          <w:tcPr>
            <w:tcW w:w="24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w w:val="89"/>
              </w:rPr>
              <w:t>99.</w:t>
            </w:r>
            <w:r>
              <w:rPr>
                <w:rFonts w:ascii="Times New Roman" w:cs="Times New Roman" w:eastAsia="Times New Roman" w:hAnsi="Times New Roman"/>
                <w:sz w:val="14"/>
                <w:szCs w:val="14"/>
                <w:u w:val="single" w:color="auto"/>
                <w:color w:val="auto"/>
                <w:w w:val="89"/>
              </w:rPr>
              <w:t>3</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3"/>
          </w:tcPr>
          <w:p>
            <w:pPr>
              <w:ind w:left="640"/>
              <w:spacing w:after="0" w:line="145" w:lineRule="exact"/>
              <w:rPr>
                <w:sz w:val="20"/>
                <w:szCs w:val="20"/>
                <w:color w:val="auto"/>
              </w:rPr>
            </w:pPr>
            <w:r>
              <w:rPr>
                <w:rFonts w:ascii="Times New Roman" w:cs="Times New Roman" w:eastAsia="Times New Roman" w:hAnsi="Times New Roman"/>
                <w:sz w:val="14"/>
                <w:szCs w:val="14"/>
                <w:color w:val="0000EE"/>
                <w:w w:val="96"/>
              </w:rPr>
              <w:t>First Quarter 2026</w:t>
            </w:r>
          </w:p>
        </w:tc>
        <w:tc>
          <w:tcPr>
            <w:tcW w:w="83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color w:val="0000EE"/>
              </w:rPr>
              <w:t>Earnings Presentation</w:t>
            </w:r>
          </w:p>
        </w:tc>
      </w:tr>
      <w:tr>
        <w:trPr>
          <w:trHeight w:val="446"/>
        </w:trPr>
        <w:tc>
          <w:tcPr>
            <w:tcW w:w="240" w:type="dxa"/>
            <w:vAlign w:val="bottom"/>
            <w:tcBorders>
              <w:top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7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440" w:type="dxa"/>
            <w:vAlign w:val="bottom"/>
          </w:tcPr>
          <w:p>
            <w:pPr>
              <w:spacing w:after="0"/>
              <w:rPr>
                <w:sz w:val="15"/>
                <w:szCs w:val="15"/>
                <w:color w:val="auto"/>
              </w:rPr>
            </w:pPr>
          </w:p>
        </w:tc>
        <w:tc>
          <w:tcPr>
            <w:tcW w:w="340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4440" w:type="dxa"/>
            <w:vAlign w:val="bottom"/>
          </w:tcPr>
          <w:p>
            <w:pPr>
              <w:spacing w:after="0"/>
              <w:rPr>
                <w:sz w:val="15"/>
                <w:szCs w:val="15"/>
                <w:color w:val="auto"/>
              </w:rPr>
            </w:pPr>
          </w:p>
        </w:tc>
      </w:tr>
      <w:tr>
        <w:trPr>
          <w:trHeight w:val="33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May 14, 2026</w:t>
            </w:r>
          </w:p>
        </w:tc>
        <w:tc>
          <w:tcPr>
            <w:tcW w:w="340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s</w:t>
            </w:r>
            <w:r>
              <w:rPr>
                <w:rFonts w:ascii="Times New Roman" w:cs="Times New Roman" w:eastAsia="Times New Roman" w:hAnsi="Times New Roman"/>
                <w:sz w:val="14"/>
                <w:szCs w:val="14"/>
                <w:color w:val="auto"/>
              </w:rPr>
              <w:t>/ J</w:t>
            </w:r>
            <w:r>
              <w:rPr>
                <w:rFonts w:ascii="Times New Roman" w:cs="Times New Roman" w:eastAsia="Times New Roman" w:hAnsi="Times New Roman"/>
                <w:sz w:val="9"/>
                <w:szCs w:val="9"/>
                <w:color w:val="auto"/>
              </w:rPr>
              <w:t>ose</w:t>
            </w:r>
            <w:r>
              <w:rPr>
                <w:rFonts w:ascii="Times New Roman" w:cs="Times New Roman" w:eastAsia="Times New Roman" w:hAnsi="Times New Roman"/>
                <w:sz w:val="14"/>
                <w:szCs w:val="14"/>
                <w:color w:val="auto"/>
              </w:rPr>
              <w:t xml:space="preserve"> A. T</w:t>
            </w:r>
            <w:r>
              <w:rPr>
                <w:rFonts w:ascii="Times New Roman" w:cs="Times New Roman" w:eastAsia="Times New Roman" w:hAnsi="Times New Roman"/>
                <w:sz w:val="9"/>
                <w:szCs w:val="9"/>
                <w:color w:val="auto"/>
              </w:rPr>
              <w:t>orres</w:t>
            </w:r>
          </w:p>
        </w:tc>
      </w:tr>
      <w:tr>
        <w:trPr>
          <w:trHeight w:val="143"/>
        </w:trPr>
        <w:tc>
          <w:tcPr>
            <w:tcW w:w="3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44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Jose A. Torres</w:t>
            </w:r>
          </w:p>
        </w:tc>
      </w:tr>
      <w:tr>
        <w:trPr>
          <w:trHeight w:val="179"/>
        </w:trPr>
        <w:tc>
          <w:tcPr>
            <w:tcW w:w="3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Chief Accounting Officer</w:t>
            </w:r>
          </w:p>
        </w:tc>
      </w:tr>
    </w:tbl>
    <w:p>
      <w:pPr>
        <w:sectPr>
          <w:pgSz w:w="11900" w:h="16838" w:orient="portrait"/>
          <w:cols w:equalWidth="0" w:num="1">
            <w:col w:w="11280"/>
          </w:cols>
          <w:pgMar w:left="300" w:top="47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Bullish Reports First Quarter 2026 Results</w:t>
      </w:r>
    </w:p>
    <w:p>
      <w:pPr>
        <w:spacing w:after="0" w:line="168" w:lineRule="exact"/>
        <w:rPr>
          <w:sz w:val="20"/>
          <w:szCs w:val="20"/>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Q1’2026 Digital asset sales of $51.8 billion and Net income (loss) of $(604.9) million</w:t>
      </w:r>
    </w:p>
    <w:p>
      <w:pPr>
        <w:spacing w:after="0" w:line="155"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Q1’2026 Adjusted revenue of $92.8 million and Adjusted EBITDA of $35.1 million</w:t>
      </w:r>
    </w:p>
    <w:p>
      <w:pPr>
        <w:spacing w:after="0" w:line="155"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Bullish Options Trading volume grew to $11.6B in the Quarter while reaching Open Interest high of 14% market share in April 2026</w:t>
      </w:r>
    </w:p>
    <w:p>
      <w:pPr>
        <w:spacing w:after="0" w:line="35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Cayman Islands, May 14, 2026 – Bullish (NYSE: BLSH), an institutionally focused global digital asset platform that provides market infrastructure and information services, today announced financial results for the first quarter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Tom Farley, CEO: “We're pleased with our Q1 results and we're even more excited about what comes next. With the proposed acquisition of Equiniti, we will have all three elements required to become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powerhouse leading the blockchain era: end-to-end tokenization services, a unified transfer agent ledger, and broad blue-chip issuer relationships.”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Q1 2026 Financial Highlights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 amounts compared to Q1 2025</w:t>
      </w:r>
    </w:p>
    <w:p>
      <w:pPr>
        <w:spacing w:after="0" w:line="174" w:lineRule="exact"/>
        <w:rPr>
          <w:sz w:val="20"/>
          <w:szCs w:val="20"/>
          <w:color w:val="auto"/>
        </w:rPr>
      </w:pPr>
    </w:p>
    <w:p>
      <w:pPr>
        <w:ind w:left="500" w:hanging="249"/>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 sales were $51.8 billion vs. $80.2 billion</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(loss) was $(604.9) million vs. $(348.6) million equivalent to $(3.85) vs. $(3.04) per diluted share</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revenue (non-IFRS) was $92.8 million vs. $62.4 million</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transaction revenue (non-IFRS) was $38.0 million vs. $42.0 million</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(non-IFRS) was $35.1 million vs. $13.2 million</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income (non-IFRS) was $20.3 million vs. $2.1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299720</wp:posOffset>
            </wp:positionV>
            <wp:extent cx="716470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color w:val="auto"/>
        </w:rPr>
        <w:t>Q1 2026 Key Business Metrics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Highlights</w:t>
      </w:r>
    </w:p>
    <w:p>
      <w:pPr>
        <w:spacing w:after="0" w:line="170" w:lineRule="exact"/>
        <w:rPr>
          <w:sz w:val="20"/>
          <w:szCs w:val="20"/>
          <w:color w:val="auto"/>
        </w:rPr>
      </w:pPr>
    </w:p>
    <w:p>
      <w:pPr>
        <w:ind w:left="500" w:right="100" w:hanging="249"/>
        <w:spacing w:after="0" w:line="27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Signed a definitive agreement to acquire Equiniti for $4.2B: </w:t>
      </w:r>
      <w:r>
        <w:rPr>
          <w:rFonts w:ascii="Times New Roman" w:cs="Times New Roman" w:eastAsia="Times New Roman" w:hAnsi="Times New Roman"/>
          <w:sz w:val="14"/>
          <w:szCs w:val="14"/>
          <w:color w:val="auto"/>
        </w:rPr>
        <w:t>Creating the first fully integrated blockchain-enabled, blue-chip issuer services provider - unifying a regulated transfer agent with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end-to-end tokenization infrastructure</w:t>
      </w:r>
    </w:p>
    <w:p>
      <w:pPr>
        <w:spacing w:after="0" w:line="122" w:lineRule="exact"/>
        <w:rPr>
          <w:rFonts w:ascii="Times New Roman" w:cs="Times New Roman" w:eastAsia="Times New Roman" w:hAnsi="Times New Roman"/>
          <w:sz w:val="14"/>
          <w:szCs w:val="14"/>
          <w:color w:val="auto"/>
        </w:rPr>
      </w:pPr>
    </w:p>
    <w:p>
      <w:pPr>
        <w:ind w:left="500" w:right="400" w:hanging="249"/>
        <w:spacing w:after="0" w:line="27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Solidified position as the #2 Exchange for BTC Options: </w:t>
      </w:r>
      <w:r>
        <w:rPr>
          <w:rFonts w:ascii="Times New Roman" w:cs="Times New Roman" w:eastAsia="Times New Roman" w:hAnsi="Times New Roman"/>
          <w:sz w:val="14"/>
          <w:szCs w:val="14"/>
          <w:color w:val="auto"/>
        </w:rPr>
        <w:t>Drove growth by signing new clients and launching key product enhancements, contributing to Bullish Options Trading volume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reaching $11.6B and open interest capture of 14% market share</w:t>
      </w:r>
    </w:p>
    <w:p>
      <w:pPr>
        <w:spacing w:after="0" w:line="122"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Diversified Product Offerings: </w:t>
      </w:r>
      <w:r>
        <w:rPr>
          <w:rFonts w:ascii="Times New Roman" w:cs="Times New Roman" w:eastAsia="Times New Roman" w:hAnsi="Times New Roman"/>
          <w:sz w:val="14"/>
          <w:szCs w:val="14"/>
          <w:color w:val="auto"/>
        </w:rPr>
        <w:t>Filed to receive our futures and options exchange and clearinghouse licenses (i.e., DCM, DCO) to expand our derivatives offerings to the United States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Flagship Consensus Events: </w:t>
      </w:r>
      <w:r>
        <w:rPr>
          <w:rFonts w:ascii="Times New Roman" w:cs="Times New Roman" w:eastAsia="Times New Roman" w:hAnsi="Times New Roman"/>
          <w:sz w:val="14"/>
          <w:szCs w:val="14"/>
          <w:color w:val="auto"/>
        </w:rPr>
        <w:t>Highly successful Consensus Hong Kong (Q1) and Miami (Q2) events, drawing a combined 26,000+ attendees across 100+ countries</w:t>
      </w:r>
    </w:p>
    <w:p>
      <w:pPr>
        <w:spacing w:after="0" w:line="169"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CoinDesk Indices: </w:t>
      </w:r>
      <w:r>
        <w:rPr>
          <w:rFonts w:ascii="Times New Roman" w:cs="Times New Roman" w:eastAsia="Times New Roman" w:hAnsi="Times New Roman"/>
          <w:sz w:val="14"/>
          <w:szCs w:val="14"/>
          <w:color w:val="auto"/>
        </w:rPr>
        <w:t>Partnered with Morgan Stanley on their recently launched BTC ETF and soon to be launched ETH and SOL ETFs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Re-Affirming Full Year 2026 Guidance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 is re-affirming the following guidance for the full year 2026:</w:t>
      </w:r>
    </w:p>
    <w:p>
      <w:pPr>
        <w:spacing w:after="0" w:line="174" w:lineRule="exact"/>
        <w:rPr>
          <w:sz w:val="20"/>
          <w:szCs w:val="20"/>
          <w:color w:val="auto"/>
        </w:rPr>
      </w:pPr>
    </w:p>
    <w:p>
      <w:pPr>
        <w:ind w:left="500" w:hanging="249"/>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Subscription, services &amp; other revenue (non-IFRS) of $220.0 million to $250.0 million</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operating expenses (non-IFRS) of $210.0 million to $230.0 million</w:t>
      </w:r>
    </w:p>
    <w:p>
      <w:pPr>
        <w:spacing w:after="0" w:line="190"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expense of $52.0 million to $60.0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 Webcast and Q&amp;A Information</w:t>
      </w:r>
    </w:p>
    <w:p>
      <w:pPr>
        <w:spacing w:after="0" w:line="1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 xml:space="preserve">Bullish will host a call to discuss its results at 8:30 a.m. ET on May 14, 2026. The live webcast can be accessed at </w:t>
      </w:r>
      <w:r>
        <w:rPr>
          <w:rFonts w:ascii="Times New Roman" w:cs="Times New Roman" w:eastAsia="Times New Roman" w:hAnsi="Times New Roman"/>
          <w:sz w:val="14"/>
          <w:szCs w:val="14"/>
          <w:b w:val="1"/>
          <w:bCs w:val="1"/>
          <w:u w:val="single" w:color="auto"/>
          <w:color w:val="auto"/>
        </w:rPr>
        <w:t>investors.bullish.com</w:t>
      </w:r>
      <w:r>
        <w:rPr>
          <w:rFonts w:ascii="Times New Roman" w:cs="Times New Roman" w:eastAsia="Times New Roman" w:hAnsi="Times New Roman"/>
          <w:sz w:val="14"/>
          <w:szCs w:val="14"/>
          <w:color w:val="auto"/>
        </w:rPr>
        <w:t xml:space="preserve">, along with supplemental slides. Following the call, a replay and transcript will be available at </w:t>
      </w:r>
      <w:r>
        <w:rPr>
          <w:rFonts w:ascii="Times New Roman" w:cs="Times New Roman" w:eastAsia="Times New Roman" w:hAnsi="Times New Roman"/>
          <w:sz w:val="14"/>
          <w:szCs w:val="14"/>
          <w:b w:val="1"/>
          <w:bCs w:val="1"/>
          <w:u w:val="single" w:color="auto"/>
          <w:color w:val="auto"/>
        </w:rPr>
        <w:t>investors.bullish.com</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259080</wp:posOffset>
            </wp:positionV>
            <wp:extent cx="7164705"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About Bullish</w:t>
      </w:r>
    </w:p>
    <w:p>
      <w:pPr>
        <w:spacing w:after="0" w:line="17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Bullish (NYSE: BLSH) is an institutionally focused global digital asset platform that provides regulated market infrastructure and information services. This includes Bullish Exchange – an institutionally focused digital assets spot and derivatives exchange, integrating a high-performance central limit order book matching engine with automated market making to provide deep and predictable liquidity. Bullish Europe is regulated under MiCAR as a crypto asset service provider offering spot trading and custody services for digital assets.</w:t>
      </w:r>
    </w:p>
    <w:p>
      <w:pPr>
        <w:spacing w:after="0" w:line="140"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3"/>
          <w:szCs w:val="13"/>
          <w:color w:val="auto"/>
        </w:rPr>
        <w:t xml:space="preserve">Bullish is the parent company of CoinDesk, a leading provider of digital asset media and information services. CoinDesk's offerings include: CoinDesk Indices – a collection of tradable proprietary and single-asset benchmarks and indices that track the performance of digital assets for global institutions in the digital assets and traditional finance industries; CoinDesk Data – a broad suite of digital asset market data and analytics, providing real-time insights into prices, trends and market dynamics; and CoinDesk Insights – a digital asset media and events provider and operator of coindesk.com, a digital media platform that covers news and insights about digital assets, the underlying markets, policy and blockchain technology. For more information, please visit </w:t>
      </w:r>
      <w:r>
        <w:rPr>
          <w:rFonts w:ascii="Times New Roman" w:cs="Times New Roman" w:eastAsia="Times New Roman" w:hAnsi="Times New Roman"/>
          <w:sz w:val="13"/>
          <w:szCs w:val="13"/>
          <w:b w:val="1"/>
          <w:bCs w:val="1"/>
          <w:u w:val="single" w:color="auto"/>
          <w:color w:val="auto"/>
        </w:rPr>
        <w:t>bullish.com</w:t>
      </w:r>
      <w:r>
        <w:rPr>
          <w:rFonts w:ascii="Times New Roman" w:cs="Times New Roman" w:eastAsia="Times New Roman" w:hAnsi="Times New Roman"/>
          <w:sz w:val="13"/>
          <w:szCs w:val="13"/>
          <w:color w:val="auto"/>
        </w:rPr>
        <w:t xml:space="preserve"> and follow </w:t>
      </w:r>
      <w:r>
        <w:rPr>
          <w:rFonts w:ascii="Times New Roman" w:cs="Times New Roman" w:eastAsia="Times New Roman" w:hAnsi="Times New Roman"/>
          <w:sz w:val="13"/>
          <w:szCs w:val="13"/>
          <w:b w:val="1"/>
          <w:bCs w:val="1"/>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u w:val="single" w:color="auto"/>
          <w:color w:val="auto"/>
        </w:rPr>
        <w:t>X</w:t>
      </w:r>
      <w:r>
        <w:rPr>
          <w:rFonts w:ascii="Times New Roman" w:cs="Times New Roman" w:eastAsia="Times New Roman" w:hAnsi="Times New Roman"/>
          <w:sz w:val="13"/>
          <w:szCs w:val="13"/>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Websites to Distribute Material Company Information</w:t>
      </w:r>
    </w:p>
    <w:p>
      <w:pPr>
        <w:spacing w:after="0" w:line="17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We use the Bullish Investor Relations website (investors.bullish.com) and our X account (x.com/bullish)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Contacts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Media: </w:t>
      </w:r>
      <w:r>
        <w:rPr>
          <w:rFonts w:ascii="Times New Roman" w:cs="Times New Roman" w:eastAsia="Times New Roman" w:hAnsi="Times New Roman"/>
          <w:sz w:val="14"/>
          <w:szCs w:val="14"/>
          <w:u w:val="single" w:color="auto"/>
          <w:color w:val="auto"/>
        </w:rPr>
        <w:t>media@bullish.com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Investor Relations: </w:t>
      </w:r>
      <w:r>
        <w:rPr>
          <w:rFonts w:ascii="Times New Roman" w:cs="Times New Roman" w:eastAsia="Times New Roman" w:hAnsi="Times New Roman"/>
          <w:sz w:val="14"/>
          <w:szCs w:val="14"/>
          <w:u w:val="single" w:color="auto"/>
          <w:color w:val="auto"/>
        </w:rPr>
        <w:t>investors@bullish.com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Source: </w:t>
      </w:r>
      <w:r>
        <w:rPr>
          <w:rFonts w:ascii="Times New Roman" w:cs="Times New Roman" w:eastAsia="Times New Roman" w:hAnsi="Times New Roman"/>
          <w:sz w:val="14"/>
          <w:szCs w:val="14"/>
          <w:color w:val="auto"/>
        </w:rPr>
        <w:t>Bullish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716470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20"/>
          </w:cols>
          <w:pgMar w:left="300" w:top="474" w:right="37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4"/>
          <w:szCs w:val="14"/>
          <w:b w:val="1"/>
          <w:bCs w:val="1"/>
          <w:color w:val="auto"/>
        </w:rPr>
        <w:t>Non-IFRS financial measures and key performance indicators</w:t>
      </w:r>
    </w:p>
    <w:p>
      <w:pPr>
        <w:spacing w:after="0" w:line="174"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4"/>
          <w:szCs w:val="14"/>
          <w:color w:val="auto"/>
        </w:rPr>
        <w:t>This communication includes certain financial measures that are not recognized by the International Financial Reporting Standards (“IFRS”). These non-IFRS financial measures are “adjusted transaction revenue,” “subscription, services and other revenue,” “adjusted revenue,” “adjusted net income / (loss)” and “adjusted EBITDA,” “gross liquid assets” and “net liquid assets”, and “adjusted operating expense.” These non-IFRS financial measures should not be considered in isolation or as an alternative to net income, cash flows from operations or other measures of profitability, liquidity or performance under IFRS. We believe these non-IFRS financial measures provide useful information to management and investors regarding certain financial and business trends. These non-IFRS financial measures are subject to inherent limitations as they reflect the exercise of judgments about which items of expense and income are excluded or included in determining these non-IFRS financial measures. Refer to the section “Reconciliation of Non-IFRS Measures” for further details and a reconciliation of the non-IFRS financial measures presented to their most directly comparable IFRS financial measures.</w:t>
      </w:r>
    </w:p>
    <w:p>
      <w:pPr>
        <w:spacing w:after="0" w:line="149"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4"/>
          <w:szCs w:val="14"/>
          <w:color w:val="auto"/>
        </w:rPr>
        <w:t>This communication also provides our forward-looking “adjusted transaction revenue,” “subscription, services &amp; other revenue,” “adjusted revenue,” “adjusted operating expense,” “adjusted EBITDA,” and “adjusted net income” guidance for the upcoming fiscal quarter. Information reconciling upcoming fiscal quarter “adjusted transaction revenue,” “subscription, services &amp; other revenue,” “adjusted revenue,” “adjusted operating expense,” “adjusted EBITDA,” and “adjusted net income” to their most directly comparable IFRS financial measures is unavailable to us without unreasonable effort due to the high variability, complexity and lack of visibility in making accurate forecasts and projections to certain reconciling items. These items cannot be reasonably and accurately predicted without the investment of undue time, costs and other resources, and accordingly, no reconciliation of the forward-looking non-IFRS financial measures is included. These reconciling items could be material to our actual results for the period.</w:t>
      </w:r>
    </w:p>
    <w:p>
      <w:pPr>
        <w:spacing w:after="0" w:line="1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This communication contains “forward-looking statements” within the meaning of the Private Securities Litigation Reform Act of 1995. Sentences containing words such as “believe,” “intend,” “plan,” “may,” “will,” “expect,” “should,” “could,” “anticipate,” “estimate,” “predict,” “project,” or their negatives, or other similar expressions of a future or forward-looking nature generally should be considered forward-looking statements. Such statements include, without limitation, statements relating to the acquisition of Equiniti, the future financial or operating performance, business strategy, and potential market opportunity of Bullish, Equiniti or the combined companies; our expected financial or operating performance, including for the upcoming fiscal quarter; our business strategy and potential market opportunities; current and prospective products, services or acquisitions; trends in, demand for, and growth and market size of, the digital assets industry; the breadth and timing of onchain adoption; expectations regarding relationships with clients and third-party business partners and overall business momentum; our plans and expectations related to tokenization and the growth and adoption of tokenized securities and blockchain technology; competition in our industry; the regulatory and legal environment, including regulatory proceedings or approvals; and general economic and business conditions. Such forward-looking statements are based upon estimates and assumptions that, while considered reasonable by us, are inherently uncertain and are subject to risks, uncertainties, and other factors which could cause actual results to differ materially from those expressed or implied by such forward-looking statements. Factors that may cause results to differ from those expressed in our forward-looking statements include, but are not limited to the satisfaction of the conditions to closing the acquisition of Equiniti in the anticipated timeframe or at all; the failure to obtain necessary regulatory approvals; the ability to realize the anticipated benefits of the combination; the ability to successfully integrate the business; litigation or regulatory actions related to the acquisition and combination; disruption from the acquisition and combination and its impact on our ability to grow our business and operations, including in new geographic locations; the costs or expenditures associated therewith; intense competition in our industry, including from unregulated and less-regulated entities and platforms; our ability to execute our business strategy and grow our business and operations, including in new geographic locations; our ability to develop, launch and improve our products and services and their adoption; our ability to attract and retain customers; the evolving rules and regulations applicable to digital assets, tokenization and our products and services; our ability to obtain and maintain regulatory approvals and stay in compliance with laws and regulations, and the costs of doing so; evolution and adoption of digital assets; interest rate fluctuations and digital asset price volatility; changes in, or unexpected, costs to operate our business; cybersecurity risks, including with respect to digital assets custody; disruptions to information and technology systems, blockchain networks and third-party services on which we rely; changes in general market, political or economic conditions; and other risks and uncertainties set forth in the section entitled “Risk Factors” in our 20-F dated March 9, 2026 filed with the Securities and Exchange Commission (“SEC”), as well as potential risks and uncertainties disclosed in our other filings with the SEC. We may not actually achieve the performance, plans, or expectations disclosed in our forward-looking statements. Nothing in this communication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which speak only as of the date they are made. We do not undertake any duty to update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375920</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300"/>
          </w:cols>
          <w:pgMar w:left="280" w:top="474"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Definitions of Certain Metrics</w:t>
      </w:r>
    </w:p>
    <w:p>
      <w:pPr>
        <w:spacing w:after="0" w:line="170" w:lineRule="exact"/>
        <w:rPr>
          <w:sz w:val="20"/>
          <w:szCs w:val="20"/>
          <w:color w:val="auto"/>
        </w:rPr>
      </w:pPr>
    </w:p>
    <w:p>
      <w:pPr>
        <w:jc w:val="both"/>
        <w:ind w:left="500" w:hanging="249"/>
        <w:spacing w:after="0" w:line="254"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Adjusted transaction revenue </w:t>
      </w:r>
      <w:r>
        <w:rPr>
          <w:rFonts w:ascii="Times New Roman" w:cs="Times New Roman" w:eastAsia="Times New Roman" w:hAnsi="Times New Roman"/>
          <w:sz w:val="14"/>
          <w:szCs w:val="14"/>
          <w:color w:val="auto"/>
        </w:rPr>
        <w:t>is a non-IFRS financial measure intended to capture the fees and trading spreads earned from customers trading on our Exchange. We define adjusted transactional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 as (i) the portion of “Digital asset sales”, as reported in accordance with IFRS, attributable to digital asset sales on our Exchange, less (ii) the “Cost of digital assets derecognized” excluding such costs from sales on venues other than the Exchange, plus (iii) the change in fair value of digital asset inventories, arising from purchase of digital assets on our Exchange (included within reported “Change in fair value of digital assets held, net”), plus (iv) transaction income (included within reported “Other revenues”), plus (v) net spread related income and change in fair value of perpetual futures on the Exchange.</w:t>
      </w:r>
    </w:p>
    <w:p>
      <w:pPr>
        <w:spacing w:after="0" w:line="164" w:lineRule="exact"/>
        <w:rPr>
          <w:rFonts w:ascii="Times New Roman" w:cs="Times New Roman" w:eastAsia="Times New Roman" w:hAnsi="Times New Roman"/>
          <w:sz w:val="14"/>
          <w:szCs w:val="14"/>
          <w:color w:val="auto"/>
        </w:rPr>
      </w:pPr>
    </w:p>
    <w:p>
      <w:pPr>
        <w:jc w:val="both"/>
        <w:ind w:left="50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exclude digital asset sales, and the related cost of digital assets derecognized, from trading activity on venues other than our Exchange. We also exclude subscription and services revenue (included within reported other revenues). In each case, this approach is intended to ensure that our adjusted transaction revenue metric reflects the core performance of our trading operations and provides a clearer understanding of our business activities on our Exchange.</w:t>
      </w:r>
    </w:p>
    <w:p>
      <w:pPr>
        <w:spacing w:after="0" w:line="160" w:lineRule="exact"/>
        <w:rPr>
          <w:rFonts w:ascii="Times New Roman" w:cs="Times New Roman" w:eastAsia="Times New Roman" w:hAnsi="Times New Roman"/>
          <w:sz w:val="14"/>
          <w:szCs w:val="14"/>
          <w:color w:val="auto"/>
        </w:rPr>
      </w:pPr>
    </w:p>
    <w:p>
      <w:pPr>
        <w:jc w:val="both"/>
        <w:ind w:left="500"/>
        <w:spacing w:after="0" w:line="28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While we include change in fair value of digital asset inventories, specifically the bid-offer spread earned from the purchase of digital assets on our Exchange, as part of our adjusted transaction revenue, we do not include other reported changes in fair value, such as subsequent remeasurements and mark-to-market adjustments. This is because these remeasurements, including impairment losses of digital assets held under intangible assets, are not considered part of our ongoing business operations and do not align with our intention to avoid taking directional trading positions.</w:t>
      </w:r>
    </w:p>
    <w:p>
      <w:pPr>
        <w:spacing w:after="0" w:line="119" w:lineRule="exact"/>
        <w:rPr>
          <w:rFonts w:ascii="Times New Roman" w:cs="Times New Roman" w:eastAsia="Times New Roman" w:hAnsi="Times New Roman"/>
          <w:sz w:val="14"/>
          <w:szCs w:val="14"/>
          <w:color w:val="auto"/>
        </w:rPr>
      </w:pPr>
    </w:p>
    <w:p>
      <w:pPr>
        <w:jc w:val="both"/>
        <w:ind w:left="500" w:hanging="249"/>
        <w:spacing w:after="0" w:line="257"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Adjusted revenue </w:t>
      </w:r>
      <w:r>
        <w:rPr>
          <w:rFonts w:ascii="Times New Roman" w:cs="Times New Roman" w:eastAsia="Times New Roman" w:hAnsi="Times New Roman"/>
          <w:sz w:val="14"/>
          <w:szCs w:val="14"/>
          <w:color w:val="auto"/>
        </w:rPr>
        <w:t>is a non-IFRS financial measure intended to reflect the revenues generated by our trading and information services and also from our investing activities. We define adjusted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revenue as adjusted transaction revenue, plus (i) subscription and services revenue, which is included in reported other revenues and includes interest and revenues from CoinDesk and CCData, plus (ii) for periods prior to 2024 only, change in fair value of investment in financial assets, plus (iii) the net income from DeFi protocols excluding the fair value change of underlying digital assets, that is reported under OCI.</w:t>
      </w:r>
    </w:p>
    <w:p>
      <w:pPr>
        <w:spacing w:after="0" w:line="161" w:lineRule="exact"/>
        <w:rPr>
          <w:rFonts w:ascii="Times New Roman" w:cs="Times New Roman" w:eastAsia="Times New Roman" w:hAnsi="Times New Roman"/>
          <w:sz w:val="14"/>
          <w:szCs w:val="14"/>
          <w:color w:val="auto"/>
        </w:rPr>
      </w:pPr>
    </w:p>
    <w:p>
      <w:pPr>
        <w:ind w:left="50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Specifically, adjusted revenue includes the fees and trading spreads earned from customers trading on our Exchange, excludes gains or losses from the remeasurement of our digital assets and includes other fees such as interest and revenue from CoinDesk and CCData businesses that we acquired in November 2023 and October 2024, respectively.</w:t>
      </w:r>
    </w:p>
    <w:p>
      <w:pPr>
        <w:spacing w:after="0" w:line="127" w:lineRule="exact"/>
        <w:rPr>
          <w:rFonts w:ascii="Times New Roman" w:cs="Times New Roman" w:eastAsia="Times New Roman" w:hAnsi="Times New Roman"/>
          <w:sz w:val="14"/>
          <w:szCs w:val="14"/>
          <w:color w:val="auto"/>
        </w:rPr>
      </w:pPr>
    </w:p>
    <w:p>
      <w:pPr>
        <w:ind w:left="500" w:hanging="249"/>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Adjusted EBITDA </w:t>
      </w:r>
      <w:r>
        <w:rPr>
          <w:rFonts w:ascii="Times New Roman" w:cs="Times New Roman" w:eastAsia="Times New Roman" w:hAnsi="Times New Roman"/>
          <w:sz w:val="14"/>
          <w:szCs w:val="14"/>
          <w:color w:val="auto"/>
        </w:rPr>
        <w:t>is calculated as income/(loss) after tax adjusted to exclude:</w:t>
      </w:r>
    </w:p>
    <w:p>
      <w:pPr>
        <w:spacing w:after="0" w:line="194" w:lineRule="exact"/>
        <w:rPr>
          <w:rFonts w:ascii="Times New Roman" w:cs="Times New Roman" w:eastAsia="Times New Roman" w:hAnsi="Times New Roman"/>
          <w:sz w:val="14"/>
          <w:szCs w:val="14"/>
          <w:color w:val="auto"/>
        </w:rPr>
      </w:pPr>
    </w:p>
    <w:p>
      <w:pPr>
        <w:ind w:left="1000" w:right="60" w:hanging="253"/>
        <w:spacing w:after="0" w:line="272" w:lineRule="auto"/>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 sales and the cost of digital assets derecognized on other venues, as these transactions do not directly reflect the core activities of liquidity provision and client facilitation on our Exchange. Excluding these is intended to ensure that our Adjusted EBITDA remains focused on the fundamental operations that drive our business;</w:t>
      </w:r>
    </w:p>
    <w:p>
      <w:pPr>
        <w:spacing w:after="0" w:line="131" w:lineRule="exact"/>
        <w:rPr>
          <w:rFonts w:ascii="Times New Roman" w:cs="Times New Roman" w:eastAsia="Times New Roman" w:hAnsi="Times New Roman"/>
          <w:sz w:val="14"/>
          <w:szCs w:val="14"/>
          <w:color w:val="auto"/>
        </w:rPr>
      </w:pPr>
    </w:p>
    <w:p>
      <w:pPr>
        <w:ind w:left="1000" w:right="100" w:hanging="253"/>
        <w:spacing w:after="0" w:line="253" w:lineRule="auto"/>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gains or losses from the remeasurement of our digital assets, as these assets are held to facilitate client trading rather than for proprietary trading purposes. Such remeasurement reflects mark-to-market (MTM) adjustments including the impairment losses held under intangible assets that are not part of our ongoing business operations and do not align with our intention to avoid taking directional trading positions. The primary focus of our business model is to provide liquidity and facilitate client transactions on our Exchange, with the key performance metric being the bid-offer spread earned from digital asset spot transactions. Including MTM adjustments would introduce volatility that is not reflective of our core operational performance and could mislead stakeholders about the true drivers of our business;</w:t>
      </w:r>
    </w:p>
    <w:p>
      <w:pPr>
        <w:spacing w:after="0" w:line="143" w:lineRule="exact"/>
        <w:rPr>
          <w:rFonts w:ascii="Times New Roman" w:cs="Times New Roman" w:eastAsia="Times New Roman" w:hAnsi="Times New Roman"/>
          <w:sz w:val="14"/>
          <w:szCs w:val="14"/>
          <w:color w:val="auto"/>
        </w:rPr>
      </w:pPr>
    </w:p>
    <w:p>
      <w:pPr>
        <w:ind w:left="1000" w:right="320" w:hanging="253"/>
        <w:spacing w:after="0" w:line="272" w:lineRule="auto"/>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non-cash charges such as share-based compensation expenses and depreciation and amortization because the amount of such expenses in any specific period may not directly correlate to the underlying performance of our business operations;</w:t>
      </w:r>
    </w:p>
    <w:p>
      <w:pPr>
        <w:spacing w:after="0" w:line="131"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or benefit from income tax and finance expenses;</w:t>
      </w:r>
    </w:p>
    <w:p>
      <w:pPr>
        <w:spacing w:after="0" w:line="169" w:lineRule="exact"/>
        <w:rPr>
          <w:rFonts w:ascii="Times New Roman" w:cs="Times New Roman" w:eastAsia="Times New Roman" w:hAnsi="Times New Roman"/>
          <w:sz w:val="14"/>
          <w:szCs w:val="14"/>
          <w:color w:val="auto"/>
        </w:rPr>
      </w:pPr>
    </w:p>
    <w:p>
      <w:pPr>
        <w:ind w:left="1000" w:hanging="253"/>
        <w:spacing w:after="0"/>
        <w:tabs>
          <w:tab w:leader="none" w:pos="10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in fair value of derivatives and financial liability at 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716470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8" w:name="page9"/>
    <w:bookmarkEnd w:id="8"/>
    <w:p>
      <w:pPr>
        <w:jc w:val="both"/>
        <w:ind w:left="749" w:right="160" w:hanging="253"/>
        <w:spacing w:after="0" w:line="281" w:lineRule="auto"/>
        <w:tabs>
          <w:tab w:leader="none" w:pos="749"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change in fair value of investments in financial assets related to digital asset funds. These investments are not central to our core operations, as they do not directly contribute to our primary business activities of liquidity provision and client facilitation. The fair value changes are primarily driven by the mark-to-market (MTM) adjustments of the underlying digital assets within the funds. Including these fair value changes would introduce volatility of digital assets that does not accurately represent the operational metrics that are indicative of our business performance. Our core operating performance focuses on providing liquidity and facilitating client transactions, and we aim to avoid taking directional trading positions;</w:t>
      </w:r>
    </w:p>
    <w:p>
      <w:pPr>
        <w:spacing w:after="0" w:line="126" w:lineRule="exact"/>
        <w:rPr>
          <w:rFonts w:ascii="Times New Roman" w:cs="Times New Roman" w:eastAsia="Times New Roman" w:hAnsi="Times New Roman"/>
          <w:sz w:val="13"/>
          <w:szCs w:val="13"/>
          <w:color w:val="auto"/>
        </w:rPr>
      </w:pPr>
    </w:p>
    <w:p>
      <w:pPr>
        <w:ind w:left="749" w:right="80" w:hanging="253"/>
        <w:spacing w:after="0" w:line="253" w:lineRule="auto"/>
        <w:tabs>
          <w:tab w:leader="none" w:pos="749"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acquisition-related and integration costs associated with business combinations, various restructuring and other costs, and goodwill impairment charges, all of which are not normal operating expenses. These adjustments aid in the comparability of our results across periods. Acquisition related costs include amounts paid to redeem acquirees’ unvested share-based compensation awards, legal, accounting, valuation, and due diligence costs. Integration costs include advisory and other professional services or consulting fees necessary to integrate acquired businesses. Restructuring and other costs that are not reflective of our core business operating expenses may include severance costs, contingent losses, impairment charges, and certain litigation and regulatory charges; and</w:t>
      </w:r>
    </w:p>
    <w:p>
      <w:pPr>
        <w:spacing w:after="0" w:line="143" w:lineRule="exact"/>
        <w:rPr>
          <w:rFonts w:ascii="Times New Roman" w:cs="Times New Roman" w:eastAsia="Times New Roman" w:hAnsi="Times New Roman"/>
          <w:sz w:val="14"/>
          <w:szCs w:val="14"/>
          <w:color w:val="auto"/>
        </w:rPr>
      </w:pPr>
    </w:p>
    <w:p>
      <w:pPr>
        <w:ind w:left="749" w:right="200" w:hanging="253"/>
        <w:spacing w:after="0" w:line="259" w:lineRule="auto"/>
        <w:tabs>
          <w:tab w:leader="none" w:pos="749"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from DeFi protocols, excluding the fair value change of underlying digital assets, which is a component of the “Revaluation of digital assets held as investments” under OCI. Deploying our digital assets in these protocols are a strategic component of our business model, providing additional yield and enhancing our liquidity management capabilities. Including this net income in Adjusted EBITDA reflects the performance of our investment activities and supports our focus on core operations.</w:t>
      </w:r>
    </w:p>
    <w:p>
      <w:pPr>
        <w:spacing w:after="0" w:line="136"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Adjusted EBITDA Less Capex </w:t>
      </w:r>
      <w:r>
        <w:rPr>
          <w:rFonts w:ascii="Times New Roman" w:cs="Times New Roman" w:eastAsia="Times New Roman" w:hAnsi="Times New Roman"/>
          <w:sz w:val="14"/>
          <w:szCs w:val="14"/>
          <w:color w:val="auto"/>
        </w:rPr>
        <w:t>is Adjusted EBITDA excluding funds used to acquire, upgrade, or maintain physical assets such as property, plants, buildings, technology, or equipment.</w:t>
      </w:r>
    </w:p>
    <w:p>
      <w:pPr>
        <w:spacing w:after="0" w:line="169" w:lineRule="exact"/>
        <w:rPr>
          <w:rFonts w:ascii="Times New Roman" w:cs="Times New Roman" w:eastAsia="Times New Roman" w:hAnsi="Times New Roman"/>
          <w:sz w:val="14"/>
          <w:szCs w:val="14"/>
          <w:color w:val="auto"/>
        </w:rPr>
      </w:pPr>
    </w:p>
    <w:p>
      <w:pPr>
        <w:ind w:left="249" w:hanging="249"/>
        <w:spacing w:after="0" w:line="278"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Adjusted net income/(loss) </w:t>
      </w:r>
      <w:r>
        <w:rPr>
          <w:rFonts w:ascii="Times New Roman" w:cs="Times New Roman" w:eastAsia="Times New Roman" w:hAnsi="Times New Roman"/>
          <w:sz w:val="14"/>
          <w:szCs w:val="14"/>
          <w:color w:val="auto"/>
        </w:rPr>
        <w:t>is calculated as income/(loss) after tax adjusted by the same adjustment items taken into account for determining adjusted EBITDA, with further adjustment to add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back finance expense and depreciation and amortization, and reduced by tax effect of the adjustments.</w:t>
      </w:r>
    </w:p>
    <w:p>
      <w:pPr>
        <w:spacing w:after="0" w:line="122" w:lineRule="exact"/>
        <w:rPr>
          <w:rFonts w:ascii="Times New Roman" w:cs="Times New Roman" w:eastAsia="Times New Roman" w:hAnsi="Times New Roman"/>
          <w:sz w:val="14"/>
          <w:szCs w:val="14"/>
          <w:color w:val="auto"/>
        </w:rPr>
      </w:pPr>
    </w:p>
    <w:p>
      <w:pPr>
        <w:ind w:left="249" w:hanging="249"/>
        <w:spacing w:after="0" w:line="318" w:lineRule="auto"/>
        <w:tabs>
          <w:tab w:leader="none" w:pos="249"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Adjusted operating expense </w:t>
      </w:r>
      <w:r>
        <w:rPr>
          <w:rFonts w:ascii="Times New Roman" w:cs="Times New Roman" w:eastAsia="Times New Roman" w:hAnsi="Times New Roman"/>
          <w:sz w:val="13"/>
          <w:szCs w:val="13"/>
          <w:color w:val="auto"/>
        </w:rPr>
        <w:t>is calculated by taking total operating expenses (which includes Administrative expenses and Other expenses) and excluding items we do not consider representative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our core, ongoing operating performance. These excluded items are Stock-based compensation expense, Depreciation and amortization expense, and certain non-recurring expenses.</w:t>
      </w:r>
    </w:p>
    <w:p>
      <w:pPr>
        <w:spacing w:after="0" w:line="124" w:lineRule="exact"/>
        <w:rPr>
          <w:rFonts w:ascii="Times New Roman" w:cs="Times New Roman" w:eastAsia="Times New Roman" w:hAnsi="Times New Roman"/>
          <w:sz w:val="13"/>
          <w:szCs w:val="13"/>
          <w:color w:val="auto"/>
        </w:rPr>
      </w:pPr>
    </w:p>
    <w:p>
      <w:pPr>
        <w:ind w:left="249" w:right="220"/>
        <w:spacing w:after="0" w:line="25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We believe Adjusted operating expense is a useful supplemental measure for investors, as it provides a clearer view of our operational efficiency by removing non-cash expenses (depreciation, amortization, and stock-based compensation) and other items not indicative of ongoing business trends. Management uses this measure to assess business performance and to plan for future periods.</w:t>
      </w:r>
    </w:p>
    <w:p>
      <w:pPr>
        <w:spacing w:after="0" w:line="136" w:lineRule="exact"/>
        <w:rPr>
          <w:rFonts w:ascii="Times New Roman" w:cs="Times New Roman" w:eastAsia="Times New Roman" w:hAnsi="Times New Roman"/>
          <w:sz w:val="13"/>
          <w:szCs w:val="13"/>
          <w:color w:val="auto"/>
        </w:rPr>
      </w:pPr>
    </w:p>
    <w:p>
      <w:pPr>
        <w:jc w:val="both"/>
        <w:ind w:left="249" w:hanging="249"/>
        <w:spacing w:after="0" w:line="251"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Subscription, services &amp; other revenue </w:t>
      </w:r>
      <w:r>
        <w:rPr>
          <w:rFonts w:ascii="Times New Roman" w:cs="Times New Roman" w:eastAsia="Times New Roman" w:hAnsi="Times New Roman"/>
          <w:sz w:val="14"/>
          <w:szCs w:val="14"/>
          <w:color w:val="auto"/>
        </w:rPr>
        <w:t>is a non-IFRS financial measure intended to provide a comprehensive view of our diverse revenue streams beyond core transaction fees and spreads.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measure includes revenue from lending and liquidity services, such as interest earned from third-party lending arrangements like credit line facilities and margin loans, interest on our own cash and stablecoins, fees from liquidity services and promotional income, and revenues from CoinDesk services such as sponsorships, event admissions, and index data licensing fees. It also incorporates the net income from DeFi protocols (excluding any fair value changes of the underlying digital assets). This non-IFRS measure is calculated by taking "Subscription and services revenue" (as reported within the "Other revenues") and adding "Net income from DeFi protocols, excluding the fair value change of underlying digital assets" (as reported within “Revaluation of digital assets held as investments”). By consolidating these various income sources, we believe this measure offers a more distinct view of the growth and performance of our service-oriented business lines, separate from our core transaction-based revenues.</w:t>
      </w:r>
    </w:p>
    <w:p>
      <w:pPr>
        <w:spacing w:after="0" w:line="143" w:lineRule="exact"/>
        <w:rPr>
          <w:rFonts w:ascii="Times New Roman" w:cs="Times New Roman" w:eastAsia="Times New Roman" w:hAnsi="Times New Roman"/>
          <w:sz w:val="14"/>
          <w:szCs w:val="14"/>
          <w:color w:val="auto"/>
        </w:rPr>
      </w:pPr>
    </w:p>
    <w:p>
      <w:pPr>
        <w:ind w:left="249" w:hanging="249"/>
        <w:spacing w:after="0" w:line="278"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Trading volume </w:t>
      </w:r>
      <w:r>
        <w:rPr>
          <w:rFonts w:ascii="Times New Roman" w:cs="Times New Roman" w:eastAsia="Times New Roman" w:hAnsi="Times New Roman"/>
          <w:sz w:val="14"/>
          <w:szCs w:val="14"/>
          <w:color w:val="auto"/>
        </w:rPr>
        <w:t>represents the notional value of trades, i.e., the product of the quantity of assets transacted and the trade price at the time the spot transaction was executed. The quantity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represents the total U.S. dollar equivalent value of matched trades transacted between a buyer and seller through our platform during the period of measurement.</w:t>
      </w:r>
    </w:p>
    <w:p>
      <w:pPr>
        <w:spacing w:after="0" w:line="122" w:lineRule="exact"/>
        <w:rPr>
          <w:rFonts w:ascii="Times New Roman" w:cs="Times New Roman" w:eastAsia="Times New Roman" w:hAnsi="Times New Roman"/>
          <w:sz w:val="14"/>
          <w:szCs w:val="14"/>
          <w:color w:val="auto"/>
        </w:rPr>
      </w:pPr>
    </w:p>
    <w:p>
      <w:pPr>
        <w:ind w:left="249" w:hanging="249"/>
        <w:spacing w:after="0"/>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Average daily volume </w:t>
      </w:r>
      <w:r>
        <w:rPr>
          <w:rFonts w:ascii="Times New Roman" w:cs="Times New Roman" w:eastAsia="Times New Roman" w:hAnsi="Times New Roman"/>
          <w:sz w:val="14"/>
          <w:szCs w:val="14"/>
          <w:color w:val="auto"/>
        </w:rPr>
        <w:t>represents the total Trading volume for the applicable period divided by the number of trading days in such period.</w:t>
      </w:r>
    </w:p>
    <w:p>
      <w:pPr>
        <w:spacing w:after="0" w:line="190" w:lineRule="exact"/>
        <w:rPr>
          <w:rFonts w:ascii="Times New Roman" w:cs="Times New Roman" w:eastAsia="Times New Roman" w:hAnsi="Times New Roman"/>
          <w:sz w:val="14"/>
          <w:szCs w:val="14"/>
          <w:color w:val="auto"/>
        </w:rPr>
      </w:pPr>
    </w:p>
    <w:p>
      <w:pPr>
        <w:jc w:val="both"/>
        <w:ind w:left="249" w:hanging="249"/>
        <w:spacing w:after="0" w:line="262"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Average trading spread </w:t>
      </w:r>
      <w:r>
        <w:rPr>
          <w:rFonts w:ascii="Times New Roman" w:cs="Times New Roman" w:eastAsia="Times New Roman" w:hAnsi="Times New Roman"/>
          <w:sz w:val="14"/>
          <w:szCs w:val="14"/>
          <w:color w:val="auto"/>
        </w:rPr>
        <w:t>represents total commissions earned from transactions on the Bullish Exchange for the period, expressed in basis points (bps) of the trading volume for the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Management reviews this metric, which reflects the cost of trading on the Bullish Exchange, changes in fair value of perpetual futures, and rebates, for insight into the average revenue generated per unit of trading volume on our platform.</w:t>
      </w:r>
    </w:p>
    <w:p>
      <w:pPr>
        <w:spacing w:after="0" w:line="154" w:lineRule="exact"/>
        <w:rPr>
          <w:rFonts w:ascii="Times New Roman" w:cs="Times New Roman" w:eastAsia="Times New Roman" w:hAnsi="Times New Roman"/>
          <w:sz w:val="14"/>
          <w:szCs w:val="14"/>
          <w:color w:val="auto"/>
        </w:rPr>
      </w:pPr>
    </w:p>
    <w:p>
      <w:pPr>
        <w:ind w:left="249" w:hanging="249"/>
        <w:spacing w:after="0" w:line="278" w:lineRule="auto"/>
        <w:tabs>
          <w:tab w:leader="none" w:pos="249"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Gross liquid assets </w:t>
      </w:r>
      <w:r>
        <w:rPr>
          <w:rFonts w:ascii="Times New Roman" w:cs="Times New Roman" w:eastAsia="Times New Roman" w:hAnsi="Times New Roman"/>
          <w:sz w:val="14"/>
          <w:szCs w:val="14"/>
          <w:color w:val="auto"/>
        </w:rPr>
        <w:t>is defined as the sum of (i) Digital assets held — inventories, (ii) Digital assets held — intangible assets, (iii) Digital assets held — financial assets, (iv) Loans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receivables — digital assets, (v) Investments in financial assets, and (vi) Cash and cash equivalents.</w:t>
      </w:r>
    </w:p>
    <w:p>
      <w:pPr>
        <w:spacing w:after="0" w:line="143" w:lineRule="exact"/>
        <w:rPr>
          <w:rFonts w:ascii="Times New Roman" w:cs="Times New Roman" w:eastAsia="Times New Roman" w:hAnsi="Times New Roman"/>
          <w:sz w:val="14"/>
          <w:szCs w:val="14"/>
          <w:color w:val="auto"/>
        </w:rPr>
      </w:pPr>
    </w:p>
    <w:p>
      <w:pPr>
        <w:ind w:left="249" w:right="200" w:hanging="249"/>
        <w:spacing w:after="0" w:line="234" w:lineRule="auto"/>
        <w:tabs>
          <w:tab w:leader="none" w:pos="24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b w:val="1"/>
          <w:bCs w:val="1"/>
          <w:color w:val="auto"/>
        </w:rPr>
        <w:t xml:space="preserve">Net liquid assets </w:t>
      </w:r>
      <w:r>
        <w:rPr>
          <w:rFonts w:ascii="Times New Roman" w:cs="Times New Roman" w:eastAsia="Times New Roman" w:hAnsi="Times New Roman"/>
          <w:sz w:val="14"/>
          <w:szCs w:val="14"/>
          <w:color w:val="auto"/>
        </w:rPr>
        <w:t>is defined as Gross liquid assets, reduced by (i) Digital assets held — inventories, (ii) the portion of Digital assets held — financial assets on our Exchange, (iii) the portion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Cash and cash equivalents on our Exchange, (iv) Borrowings, (v) Borrowings from related parties, and (vi) Digital assets loan payable.</w:t>
      </w:r>
    </w:p>
    <w:p>
      <w:pPr>
        <w:spacing w:after="0" w:line="148" w:lineRule="exact"/>
        <w:rPr>
          <w:rFonts w:ascii="Times New Roman" w:cs="Times New Roman" w:eastAsia="Times New Roman" w:hAnsi="Times New Roman"/>
          <w:sz w:val="17"/>
          <w:szCs w:val="17"/>
          <w:color w:val="auto"/>
        </w:rPr>
      </w:pPr>
    </w:p>
    <w:p>
      <w:pPr>
        <w:ind w:left="249" w:right="120" w:hanging="249"/>
        <w:spacing w:after="0" w:line="241" w:lineRule="auto"/>
        <w:tabs>
          <w:tab w:leader="none" w:pos="24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b w:val="1"/>
          <w:bCs w:val="1"/>
          <w:color w:val="auto"/>
        </w:rPr>
        <w:t xml:space="preserve">Adjusted Diluted Earnings Per Share “EPS” </w:t>
      </w:r>
      <w:r>
        <w:rPr>
          <w:rFonts w:ascii="Times New Roman" w:cs="Times New Roman" w:eastAsia="Times New Roman" w:hAnsi="Times New Roman"/>
          <w:sz w:val="14"/>
          <w:szCs w:val="14"/>
          <w:color w:val="auto"/>
        </w:rPr>
        <w:t>is defined as Adjusted Net Income divided by Adjusted Diluted Weighted Average Shares Outstanding. The numerator, Adjusted Net Income, 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defined above. The denominator, Adjusted Diluted Weighted Average Shares Outstanding, is calculated as the basic weighted average shares of common stock outstanding determined in accordance with IFRS, plus the assumed exchange of all outstanding Participating Securities into shares of diluted weighted average shares outstanding. This adjustment reflects the fully diluted capital structure of the Company by including all equity-linked instruments that have economic participation rights. Adjusted Diluted EPS has limitations as an analytical tool and should not be considered in isolation or as a substitute for diluted earnings per share calculated in accordance with IFRS.</w:t>
      </w:r>
    </w:p>
    <w:p>
      <w:pPr>
        <w:spacing w:after="0" w:line="148" w:lineRule="exact"/>
        <w:rPr>
          <w:rFonts w:ascii="Times New Roman" w:cs="Times New Roman" w:eastAsia="Times New Roman" w:hAnsi="Times New Roman"/>
          <w:sz w:val="17"/>
          <w:szCs w:val="17"/>
          <w:color w:val="auto"/>
        </w:rPr>
      </w:pPr>
    </w:p>
    <w:p>
      <w:pPr>
        <w:ind w:left="249" w:right="160" w:hanging="249"/>
        <w:spacing w:after="0" w:line="271" w:lineRule="auto"/>
        <w:tabs>
          <w:tab w:leader="none" w:pos="24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3"/>
          <w:szCs w:val="13"/>
          <w:b w:val="1"/>
          <w:bCs w:val="1"/>
          <w:color w:val="auto"/>
        </w:rPr>
        <w:t xml:space="preserve">Adjusted Fully Diluted WA Shares Outstanding </w:t>
      </w:r>
      <w:r>
        <w:rPr>
          <w:rFonts w:ascii="Times New Roman" w:cs="Times New Roman" w:eastAsia="Times New Roman" w:hAnsi="Times New Roman"/>
          <w:sz w:val="13"/>
          <w:szCs w:val="13"/>
          <w:color w:val="auto"/>
        </w:rPr>
        <w:t>is defined as Ordinary shares outstanding plus (i) the vested and unvested portion of BMC1 Class A and Class B shares as converted into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Ordinary shares (ii) the vested and unvested portion of outstanding options assuming all options are exercised for Ordinary shares (iii) the vested and unvested portion of RSU's outstanding that have not yet been delivered less (iv) the number of Ordinary shares Bullish would be able to repurchase at market price with the proceeds from the exercise of vested and unvested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262890</wp:posOffset>
            </wp:positionV>
            <wp:extent cx="716470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029"/>
          </w:cols>
          <w:pgMar w:left="551" w:top="47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PROFIT OR LOSS AND OTHER COMPREHENSIVE INCOME/(LOSS) (UNAUDITED)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 AND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Digital assets sales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51,812,747</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80,236,157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Cost of digital assets derecognized</w:t>
            </w: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(51,792,742)</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(80,209,641)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57,482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20,304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digital assets held, net</w:t>
            </w: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(559,584)</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(246,762)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spread related income and change in fair value of perpetual futures on the Exchange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investment in financial assets</w:t>
            </w: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(92,373)</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(71,810)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Administrative expenses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(48,280)</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(47,186)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(45,530)</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(15,063)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(14,088)</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(10,240)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69,197</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financial liability at FVTPL</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8,500</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Income/(loss) before income tax</w:t>
            </w: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(604,636</w:t>
            </w:r>
          </w:p>
        </w:tc>
        <w:tc>
          <w:tcPr>
            <w:tcW w:w="2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auto"/>
              <w:bottom w:val="single" w:sz="8" w:color="auto"/>
            </w:tcBorders>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(348,843</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Income tax benefit/(expense)</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Net income/(loss)</w:t>
            </w: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(604,862</w:t>
            </w:r>
          </w:p>
        </w:tc>
        <w:tc>
          <w:tcPr>
            <w:tcW w:w="2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bottom w:val="single" w:sz="8" w:color="auto"/>
            </w:tcBorders>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(348,622</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Group</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(581,713)</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(343,994)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(23,149)</w:t>
            </w:r>
          </w:p>
        </w:tc>
        <w:tc>
          <w:tcPr>
            <w:tcW w:w="340" w:type="dxa"/>
            <w:vAlign w:val="bottom"/>
          </w:tcPr>
          <w:p>
            <w:pPr>
              <w:spacing w:after="0"/>
              <w:rPr>
                <w:sz w:val="15"/>
                <w:szCs w:val="15"/>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income/(loss)</w:t>
            </w: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(604,862)</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(348,622)</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income/(loss)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Items that will not be subsequently reclassified to profit or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 of digital assets held as investments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(26,636)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(99,903)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Fair value gain/(loss) on financial liabilities designated as at FVTPL attributable to changes in credit risk</w:t>
            </w:r>
          </w:p>
        </w:tc>
        <w:tc>
          <w:tcPr>
            <w:tcW w:w="340" w:type="dxa"/>
            <w:vAlign w:val="bottom"/>
          </w:tcPr>
          <w:p>
            <w:pPr>
              <w:spacing w:after="0"/>
              <w:rPr>
                <w:sz w:val="15"/>
                <w:szCs w:val="15"/>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14,250</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(12,386)</w:t>
            </w:r>
          </w:p>
        </w:tc>
        <w:tc>
          <w:tcPr>
            <w:tcW w:w="2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(93,853)</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Items that may be reclassified subsequently to profit or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differences on translation of foreign operations</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(302)</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comprehensive income/(loss)</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(617,550)</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(441,932)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Owners of the Group</w:t>
            </w:r>
          </w:p>
        </w:tc>
        <w:tc>
          <w:tcPr>
            <w:tcW w:w="3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(593,903)</w:t>
            </w:r>
          </w:p>
        </w:tc>
        <w:tc>
          <w:tcPr>
            <w:tcW w:w="340" w:type="dxa"/>
            <w:vAlign w:val="bottom"/>
          </w:tcPr>
          <w:p>
            <w:pPr>
              <w:spacing w:after="0"/>
              <w:rPr>
                <w:sz w:val="14"/>
                <w:szCs w:val="1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(436,318)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(23,647)</w:t>
            </w: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comprehensive income/(loss)</w:t>
            </w:r>
          </w:p>
        </w:tc>
        <w:tc>
          <w:tcPr>
            <w:tcW w:w="34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(617,550)</w:t>
            </w:r>
          </w:p>
        </w:tc>
        <w:tc>
          <w:tcPr>
            <w:tcW w:w="220" w:type="dxa"/>
            <w:vAlign w:val="bottom"/>
          </w:tcPr>
          <w:p>
            <w:pPr>
              <w:spacing w:after="0"/>
              <w:rPr>
                <w:sz w:val="13"/>
                <w:szCs w:val="13"/>
                <w:color w:val="auto"/>
              </w:rPr>
            </w:pPr>
          </w:p>
        </w:tc>
        <w:tc>
          <w:tcPr>
            <w:tcW w:w="340" w:type="dxa"/>
            <w:vAlign w:val="bottom"/>
            <w:tcBorders>
              <w:top w:val="single" w:sz="8" w:color="auto"/>
            </w:tcBorders>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(441,932)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Weighted average number of ordinary shares for the purposes of basic and diluted earnings/(loss) per share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151,146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113,215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151,146</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113,215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Earnings/(Loss) per share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(3.85)</w:t>
            </w: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(3.85)</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7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 OF MARCH 31, 2026 AND DECEMBER 31,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63,062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30,535</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31,104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and right-of-use assets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26,465</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28,369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2,995</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17,662</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non-current assets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146,179</w:t>
            </w: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152,438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inventories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142,698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held - intangible assets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1,298,611</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financial assets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863,306</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1,037,915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and other receivables - digital assets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395,684</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6,298</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financial assets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266,640</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55,945</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segregated cash</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55,640</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17,003</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16,839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76,052</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87,892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3,177,877</w:t>
            </w: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3,804,066</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3,324,056</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Borrowings from related parties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482,850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redeemable preference shares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loan payable</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4,885</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12,817</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1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500,570</w:t>
            </w: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528,263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segregated cash liabilities</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49,982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loan payable</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6,213</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58,092</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top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120,279</w:t>
            </w: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129,912</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620,849</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2,703,207</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3,298,329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capital and share premium</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5,119,254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5,110,063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Option premium on convertible redeemable preference shares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390,214</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(2,860,139)</w:t>
            </w:r>
          </w:p>
        </w:tc>
        <w:tc>
          <w:tcPr>
            <w:tcW w:w="1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(2,668,100)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shareholders' equity attributable to the owners of the Group</w:t>
            </w: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2,649,329</w:t>
            </w: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3,216,187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53,878</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82,142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2,703,207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3,298,329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35"/>
        </w:trPr>
        <w:tc>
          <w:tcPr>
            <w:tcW w:w="20" w:type="dxa"/>
            <w:vAlign w:val="bottom"/>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74"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 AND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1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Net income/(loss)</w:t>
            </w:r>
          </w:p>
        </w:tc>
        <w:tc>
          <w:tcPr>
            <w:tcW w:w="880" w:type="dxa"/>
            <w:vAlign w:val="bottom"/>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(604,862)</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(348,622)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for:</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(5,686)</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interest expense</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13,777</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 interest expense</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foreign exchange loss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Share-based payments expenses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5,603</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of property and equipment and right-of-use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1,670</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557</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right-of-use asset</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591</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Loss from revaluation of digital assets and other investments in financial assets at FVTPL, net</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226,419</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financial liability at FVTPL</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(8,482)</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losses of digital assets</w:t>
            </w:r>
          </w:p>
        </w:tc>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359,209</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Operating cash flows before changes in operating assets and liabilities</w:t>
            </w:r>
          </w:p>
        </w:tc>
        <w:tc>
          <w:tcPr>
            <w:tcW w:w="8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(10,893)</w:t>
            </w:r>
          </w:p>
        </w:tc>
        <w:tc>
          <w:tcPr>
            <w:tcW w:w="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(14,557)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Decrease/(increase) in other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(21,737)</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deferred tax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Decrease in digital assets held - inventories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6,005</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digital assets held - intangible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(Increase) in digital assets held - financial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(307,298)</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(264,599)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digital assets held - loan receivable</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391,604</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(Decrease) in other payables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(4,292)</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(7,438)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customer segregated cash liabilities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35,596</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Increase/(decrease) in digital assets held - customer segregated inventories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Increase/(decrease) in customer segregated liabilities - digital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Increase in deferred tax liabilities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received</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2,067</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90,923</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business combinations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 from business combinations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digital assets for liquidation reserve</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 for loans made via margin lending services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business combinations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 from business combinations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investment in financial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(6,449)</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(1,275)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on investment in financial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Cash received from investment in derivative financial instruments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investment in derivative financial instruments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(412)</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on disposal of property and equipment</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digital assets held - intangible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(907)</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(41,491)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on disposal of digital assets held - intangible assets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30,448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Prepayment on intangible assets</w:t>
            </w:r>
          </w:p>
        </w:tc>
        <w:tc>
          <w:tcPr>
            <w:tcW w:w="88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(3,403)</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(12,514)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1,349</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(13,777)</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loans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74,300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loans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(50,000)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(49,300)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Repayment on lease liabilities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(1,126)</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(63,554)</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13,429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increase/(decrease) in cash and cash equivalents, customer segregated cash and restricted cash</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23,966</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customer segregated cash and restricted cash at beginning of the period</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130,502</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55,783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 customer segregated cash and restricted cash</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Cash and cash equivalents, customer segregated cash and restricted cash at end of the period</w:t>
            </w:r>
          </w:p>
        </w:tc>
        <w:tc>
          <w:tcPr>
            <w:tcW w:w="88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154,535</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52,888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customer segregated cash and restricted cash consisted of the following:</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Customer segregated cash</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55,640</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22,843</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17,990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76,052</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cash and cash equivalents, customer segregated cash and restricted cash</w:t>
            </w:r>
          </w:p>
        </w:tc>
        <w:tc>
          <w:tcPr>
            <w:tcW w:w="880" w:type="dxa"/>
            <w:vAlign w:val="bottom"/>
            <w:shd w:val="clear" w:color="auto" w:fill="CCEEFF"/>
          </w:tcPr>
          <w:p>
            <w:pPr>
              <w:jc w:val="right"/>
              <w:ind w:right="7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154,535</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52,888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8000" w:type="dxa"/>
            <w:vAlign w:val="bottom"/>
            <w:tcBorders>
              <w:top w:val="single" w:sz="8" w:color="CCEEFF"/>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Recognition of right-of-use assets against lease liabilities</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digital assets held - intangible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w w:val="94"/>
              </w:rPr>
              <w:t>(3,395,970)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(12,147,047)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Proceeds on disposal of digital assets held - intangible assets</w:t>
            </w:r>
          </w:p>
        </w:tc>
        <w:tc>
          <w:tcPr>
            <w:tcW w:w="8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3,420,100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11,818,045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 loan receivables made, net</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(514,856)</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32,472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 pledged as collateral made, net</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98,452</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84,137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Received in Digital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Purchase of investment in financial assets via USDC</w:t>
            </w:r>
          </w:p>
        </w:tc>
        <w:tc>
          <w:tcPr>
            <w:tcW w:w="8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 on intangible assets made, net</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(7,366)</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Non-cash purchase of investment</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(6,770)</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proceeds of sales of investments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120,840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Interest paid in digital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(4,683)</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borrowings via digital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966,841</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Repayment from borrowings via digital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(962,963)</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(672,758)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digital assets loan payable via digital assets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154,928</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84,554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Repayments from digital assets loan payable via digital assets</w:t>
            </w:r>
          </w:p>
        </w:tc>
        <w:tc>
          <w:tcPr>
            <w:tcW w:w="8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(154,224)</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38" w:orient="portrait"/>
          <w:cols w:equalWidth="0" w:num="1">
            <w:col w:w="11280"/>
          </w:cols>
          <w:pgMar w:left="300" w:top="474" w:right="319" w:bottom="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647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Non-IFRS Measures Summarized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7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3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351"/>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Pr>
          <w:p>
            <w:pPr>
              <w:spacing w:after="0"/>
              <w:rPr>
                <w:sz w:val="15"/>
                <w:szCs w:val="15"/>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788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Non-IFRS Financial Measures</w:t>
            </w:r>
          </w:p>
        </w:tc>
        <w:tc>
          <w:tcPr>
            <w:tcW w:w="1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transaction revenue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38,017</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42,027</w:t>
            </w: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revenue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92,826</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62,411</w:t>
            </w:r>
          </w:p>
        </w:tc>
        <w:tc>
          <w:tcPr>
            <w:tcW w:w="100" w:type="dxa"/>
            <w:vAlign w:val="bottom"/>
            <w:shd w:val="clear" w:color="auto" w:fill="CCEEFF"/>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35,149</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13,168</w:t>
            </w: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Net Income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20,297</w:t>
            </w:r>
          </w:p>
        </w:tc>
        <w:tc>
          <w:tcPr>
            <w:tcW w:w="2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00" w:type="dxa"/>
            <w:vAlign w:val="bottom"/>
            <w:shd w:val="clear" w:color="auto" w:fill="CCEEFF"/>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Adjusted Opex</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57,680</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49,242</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Period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20"/>
              <w:spacing w:after="0" w:line="13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51"/>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3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Gross Liquid Assets</w:t>
            </w:r>
          </w:p>
        </w:tc>
        <w:tc>
          <w:tcPr>
            <w:tcW w:w="32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120"/>
              <w:spacing w:after="0" w:line="156" w:lineRule="exact"/>
              <w:rPr>
                <w:sz w:val="20"/>
                <w:szCs w:val="20"/>
                <w:color w:val="auto"/>
              </w:rPr>
            </w:pPr>
            <w:r>
              <w:rPr>
                <w:rFonts w:ascii="Times New Roman" w:cs="Times New Roman" w:eastAsia="Times New Roman" w:hAnsi="Times New Roman"/>
                <w:sz w:val="14"/>
                <w:szCs w:val="14"/>
                <w:color w:val="auto"/>
              </w:rPr>
              <w:t>3,042,991</w:t>
            </w:r>
          </w:p>
        </w:tc>
        <w:tc>
          <w:tcPr>
            <w:tcW w:w="260" w:type="dxa"/>
            <w:vAlign w:val="bottom"/>
            <w:gridSpan w:val="2"/>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3,719,681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4"/>
                <w:szCs w:val="14"/>
                <w:color w:val="auto"/>
              </w:rPr>
              <w:t>Net Liquid Assets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2,271,816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2,859,701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1"/>
        </w:trPr>
        <w:tc>
          <w:tcPr>
            <w:tcW w:w="20" w:type="dxa"/>
            <w:vAlign w:val="bottom"/>
            <w:tcBorders>
              <w:bottom w:val="single" w:sz="8" w:color="auto"/>
            </w:tcBorders>
          </w:tcPr>
          <w:p>
            <w:pPr>
              <w:spacing w:after="0"/>
              <w:rPr>
                <w:sz w:val="24"/>
                <w:szCs w:val="24"/>
                <w:color w:val="auto"/>
              </w:rPr>
            </w:pPr>
          </w:p>
        </w:tc>
        <w:tc>
          <w:tcPr>
            <w:tcW w:w="8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74"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Reconciliation of Non-IFRS Measures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Pr>
          <w:p>
            <w:pPr>
              <w:spacing w:after="0"/>
              <w:rPr>
                <w:sz w:val="15"/>
                <w:szCs w:val="15"/>
                <w:color w:val="auto"/>
              </w:rPr>
            </w:pPr>
          </w:p>
        </w:tc>
        <w:tc>
          <w:tcPr>
            <w:tcW w:w="30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660"/>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351"/>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 Transaction Revenue and Adjusted Revenue</w:t>
            </w:r>
          </w:p>
        </w:tc>
        <w:tc>
          <w:tcPr>
            <w:tcW w:w="260" w:type="dxa"/>
            <w:vAlign w:val="bottom"/>
          </w:tcPr>
          <w:p>
            <w:pPr>
              <w:spacing w:after="0"/>
              <w:rPr>
                <w:sz w:val="15"/>
                <w:szCs w:val="15"/>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Digital assets sales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51,812,747</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80,236,157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asset sales on venues other than Exchange</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(303,863)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Digital asset sales - on our Exchange</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51,812,747</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79,932,294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digital assets derecognized - on our Exchange</w:t>
            </w:r>
          </w:p>
        </w:tc>
        <w:tc>
          <w:tcPr>
            <w:tcW w:w="2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(51,792,742)</w:t>
            </w:r>
          </w:p>
        </w:tc>
        <w:tc>
          <w:tcPr>
            <w:tcW w:w="2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(79,905,816)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digital assets inventories, arising from purchase of digital assets on our Exchange</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18,688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Transaction income</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spread related income and change in fair value of perpetual futures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Transaction Revenue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38,017</w:t>
            </w:r>
          </w:p>
        </w:tc>
        <w:tc>
          <w:tcPr>
            <w:tcW w:w="220" w:type="dxa"/>
            <w:vAlign w:val="bottom"/>
          </w:tcPr>
          <w:p>
            <w:pPr>
              <w:spacing w:after="0"/>
              <w:rPr>
                <w:sz w:val="13"/>
                <w:szCs w:val="13"/>
                <w:color w:val="auto"/>
              </w:rPr>
            </w:pPr>
          </w:p>
        </w:tc>
        <w:tc>
          <w:tcPr>
            <w:tcW w:w="260" w:type="dxa"/>
            <w:vAlign w:val="bottom"/>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42,027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Subscriptions and services revenue</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54,770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19,741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fair value of investment in financial assets</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 of digital assets held as investments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Revenue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92,826</w:t>
            </w:r>
          </w:p>
        </w:tc>
        <w:tc>
          <w:tcPr>
            <w:tcW w:w="220" w:type="dxa"/>
            <w:vAlign w:val="bottom"/>
          </w:tcPr>
          <w:p>
            <w:pPr>
              <w:spacing w:after="0"/>
              <w:rPr>
                <w:sz w:val="13"/>
                <w:szCs w:val="13"/>
                <w:color w:val="auto"/>
              </w:rPr>
            </w:pPr>
          </w:p>
        </w:tc>
        <w:tc>
          <w:tcPr>
            <w:tcW w:w="260" w:type="dxa"/>
            <w:vAlign w:val="bottom"/>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62,411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7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EBITDA and Adjusted Net Income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7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Income/(loss)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(604,862)</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(348,623)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to exclude the following:</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Digital asset sales on venues other than Exchange</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(303,863)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digital assets derecognized on other venues</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303,825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Loss/(Gain) from changes in fair value of digital assets inventories net payable to customers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150,924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115,267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Finance expenses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10,240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Employee share-based payment expenses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share-based payment expenses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loan and other receivables - digital assets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73,236</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21,400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Change in fair value of digital assets loan payable</w:t>
            </w:r>
          </w:p>
        </w:tc>
        <w:tc>
          <w:tcPr>
            <w:tcW w:w="2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(280)</w:t>
            </w:r>
          </w:p>
        </w:tc>
        <w:tc>
          <w:tcPr>
            <w:tcW w:w="2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(13,305)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(69,197)</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Change in fair value of financial liability at FVTPL</w:t>
            </w:r>
          </w:p>
        </w:tc>
        <w:tc>
          <w:tcPr>
            <w:tcW w:w="2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(8,500)</w:t>
            </w: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investments in financial assets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92,373</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71,810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Impairment losses of digital assets held - intangible assets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350,970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right-of-use assets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Impairment of digital assets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Non-recurring expenses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5,487</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to include the following:</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Revaluation of digital assets held as investments</w:t>
            </w:r>
          </w:p>
        </w:tc>
        <w:tc>
          <w:tcPr>
            <w:tcW w:w="2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EBITDA</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35,149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13,168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Finance expenses</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(14,088)</w:t>
            </w: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(772)</w:t>
            </w:r>
          </w:p>
        </w:tc>
        <w:tc>
          <w:tcPr>
            <w:tcW w:w="26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Tax effect of adjusted net income before taxes</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top w:val="single" w:sz="8" w:color="CCEEFF"/>
            </w:tcBorders>
            <w:gridSpan w:val="2"/>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Adjusted Net Income</w:t>
            </w: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20,297</w:t>
            </w:r>
          </w:p>
        </w:tc>
        <w:tc>
          <w:tcPr>
            <w:tcW w:w="220" w:type="dxa"/>
            <w:vAlign w:val="bottom"/>
            <w:tcBorders>
              <w:top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2,138</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 Figures presented may not sum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16470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Gross and Net Liquid Assets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Digital assets held - inventories</w:t>
            </w: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142,698</w:t>
            </w: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206,178</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intangible assets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1,298,611</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1,537,071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held - financial assets (on Exchange)</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135,230</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84,993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financial assets (off Exchange)</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728,076</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952,922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and other receivable</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395,684</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Investments in financial assets</w:t>
            </w:r>
          </w:p>
        </w:tc>
        <w:tc>
          <w:tcPr>
            <w:tcW w:w="18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266,640</w:t>
            </w: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76,052</w:t>
            </w: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87,892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Gross Liquid Assets</w:t>
            </w: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3,042,991</w:t>
            </w:r>
          </w:p>
        </w:tc>
        <w:tc>
          <w:tcPr>
            <w:tcW w:w="220" w:type="dxa"/>
            <w:vAlign w:val="bottom"/>
          </w:tcPr>
          <w:p>
            <w:pPr>
              <w:spacing w:after="0"/>
              <w:rPr>
                <w:sz w:val="13"/>
                <w:szCs w:val="13"/>
                <w:color w:val="auto"/>
              </w:rPr>
            </w:pPr>
          </w:p>
        </w:tc>
        <w:tc>
          <w:tcPr>
            <w:tcW w:w="1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3,719,681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8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 Digital assets held - inventories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(142,698)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(206,178)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Digital assets held - financial assets (on Exchange)</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(135,230)</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(84,993)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 Digital assets loan payable</w:t>
            </w:r>
          </w:p>
        </w:tc>
        <w:tc>
          <w:tcPr>
            <w:tcW w:w="18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(5,219)</w:t>
            </w:r>
          </w:p>
        </w:tc>
        <w:tc>
          <w:tcPr>
            <w:tcW w:w="1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(5,601)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Borrowings</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(49,982)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 Borrowings from related parties</w:t>
            </w:r>
          </w:p>
        </w:tc>
        <w:tc>
          <w:tcPr>
            <w:tcW w:w="180" w:type="dxa"/>
            <w:vAlign w:val="bottom"/>
          </w:tcPr>
          <w:p>
            <w:pPr>
              <w:spacing w:after="0"/>
              <w:rPr>
                <w:sz w:val="14"/>
                <w:szCs w:val="14"/>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(482,850)</w:t>
            </w:r>
          </w:p>
        </w:tc>
        <w:tc>
          <w:tcPr>
            <w:tcW w:w="1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(505,600)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Cash on the Exchange</w:t>
            </w:r>
          </w:p>
        </w:tc>
        <w:tc>
          <w:tcPr>
            <w:tcW w:w="1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(5,178)</w:t>
            </w:r>
          </w:p>
        </w:tc>
        <w:tc>
          <w:tcPr>
            <w:tcW w:w="1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(7,626)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Liquid Assets</w:t>
            </w: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2,271,816</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2,859,701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 - Figures presented may not sum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184150</wp:posOffset>
            </wp:positionV>
            <wp:extent cx="716470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474"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Expense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US$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60" w:type="dxa"/>
            <w:vAlign w:val="bottom"/>
          </w:tcPr>
          <w:p>
            <w:pPr>
              <w:spacing w:after="0"/>
              <w:rPr>
                <w:sz w:val="15"/>
                <w:szCs w:val="15"/>
                <w:color w:val="auto"/>
              </w:rPr>
            </w:pPr>
          </w:p>
        </w:tc>
        <w:tc>
          <w:tcPr>
            <w:tcW w:w="300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ind w:left="180"/>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351"/>
              <w:spacing w:after="0" w:line="13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IFRS Core Operating Expense to Adjusted Operating Expense</w:t>
            </w:r>
          </w:p>
        </w:tc>
        <w:tc>
          <w:tcPr>
            <w:tcW w:w="260" w:type="dxa"/>
            <w:vAlign w:val="bottom"/>
          </w:tcPr>
          <w:p>
            <w:pPr>
              <w:spacing w:after="0"/>
              <w:rPr>
                <w:sz w:val="15"/>
                <w:szCs w:val="15"/>
                <w:color w:val="auto"/>
              </w:rPr>
            </w:pPr>
          </w:p>
        </w:tc>
        <w:tc>
          <w:tcPr>
            <w:tcW w:w="12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78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IFRS Core Operating Expense</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93,810</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b w:val="1"/>
                <w:bCs w:val="1"/>
                <w:color w:val="auto"/>
              </w:rPr>
              <w:t>62,249</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7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for</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Employee stock-based compensation expense</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5,603</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stock-based compensation expense</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15,438</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Non-recurring expenses - legal and professional fees</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4,040</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Non-recurring expenses - compensation and benefits</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1,447</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772</w:t>
            </w:r>
          </w:p>
        </w:tc>
        <w:tc>
          <w:tcPr>
            <w:tcW w:w="26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right-of-use assets</w:t>
            </w: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591</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Impairment of digital assets</w:t>
            </w:r>
          </w:p>
        </w:tc>
        <w:tc>
          <w:tcPr>
            <w:tcW w:w="26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8,239</w:t>
            </w: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7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Operating Expense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57,680</w:t>
            </w: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49,242</w:t>
            </w:r>
          </w:p>
        </w:tc>
        <w:tc>
          <w:tcPr>
            <w:tcW w:w="0" w:type="dxa"/>
            <w:vAlign w:val="bottom"/>
          </w:tcPr>
          <w:p>
            <w:pPr>
              <w:spacing w:after="0"/>
              <w:rPr>
                <w:sz w:val="1"/>
                <w:szCs w:val="1"/>
                <w:color w:val="auto"/>
              </w:rPr>
            </w:pPr>
          </w:p>
        </w:tc>
      </w:tr>
      <w:tr>
        <w:trPr>
          <w:trHeight w:val="314"/>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Note - Figures presented may not sum precisely due to rounding.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7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80" w:type="dxa"/>
            <w:vAlign w:val="bottom"/>
            <w:gridSpan w:val="3"/>
          </w:tcPr>
          <w:p>
            <w:pPr>
              <w:jc w:val="center"/>
              <w:ind w:left="811"/>
              <w:spacing w:after="0"/>
              <w:rPr>
                <w:sz w:val="20"/>
                <w:szCs w:val="20"/>
                <w:color w:val="auto"/>
              </w:rPr>
            </w:pPr>
            <w:r>
              <w:rPr>
                <w:rFonts w:ascii="Times New Roman" w:cs="Times New Roman" w:eastAsia="Times New Roman" w:hAnsi="Times New Roman"/>
                <w:sz w:val="14"/>
                <w:szCs w:val="14"/>
                <w:b w:val="1"/>
                <w:bCs w:val="1"/>
                <w:color w:val="auto"/>
                <w:w w:val="96"/>
              </w:rPr>
              <w:t>Exhibit 99.2</w:t>
            </w:r>
          </w:p>
        </w:tc>
        <w:tc>
          <w:tcPr>
            <w:tcW w:w="0" w:type="dxa"/>
            <w:vAlign w:val="bottom"/>
          </w:tcPr>
          <w:p>
            <w:pPr>
              <w:spacing w:after="0"/>
              <w:rPr>
                <w:sz w:val="1"/>
                <w:szCs w:val="1"/>
                <w:color w:val="auto"/>
              </w:rPr>
            </w:pPr>
          </w:p>
        </w:tc>
      </w:tr>
      <w:tr>
        <w:trPr>
          <w:trHeight w:val="313"/>
        </w:trPr>
        <w:tc>
          <w:tcPr>
            <w:tcW w:w="3860" w:type="dxa"/>
            <w:vAlign w:val="bottom"/>
          </w:tcPr>
          <w:p>
            <w:pPr>
              <w:spacing w:after="0"/>
              <w:rPr>
                <w:sz w:val="24"/>
                <w:szCs w:val="24"/>
                <w:color w:val="auto"/>
              </w:rPr>
            </w:pPr>
          </w:p>
        </w:tc>
        <w:tc>
          <w:tcPr>
            <w:tcW w:w="5840" w:type="dxa"/>
            <w:vAlign w:val="bottom"/>
            <w:gridSpan w:val="5"/>
          </w:tcPr>
          <w:p>
            <w:pPr>
              <w:jc w:val="center"/>
              <w:ind w:right="2280"/>
              <w:spacing w:after="0"/>
              <w:rPr>
                <w:sz w:val="20"/>
                <w:szCs w:val="20"/>
                <w:color w:val="auto"/>
              </w:rPr>
            </w:pPr>
            <w:r>
              <w:rPr>
                <w:rFonts w:ascii="Times New Roman" w:cs="Times New Roman" w:eastAsia="Times New Roman" w:hAnsi="Times New Roman"/>
                <w:sz w:val="14"/>
                <w:szCs w:val="14"/>
                <w:b w:val="1"/>
                <w:bCs w:val="1"/>
                <w:color w:val="auto"/>
                <w:w w:val="97"/>
              </w:rPr>
              <w:t>INDEX TO FINANCIAL STATEMENTS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97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BULLISH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UNAUDITED CONDENSED CONSOLIDATED FINANCIAL STATEMENTS</w:t>
            </w:r>
          </w:p>
        </w:tc>
        <w:tc>
          <w:tcPr>
            <w:tcW w:w="880" w:type="dxa"/>
            <w:vAlign w:val="bottom"/>
          </w:tcPr>
          <w:p>
            <w:pPr>
              <w:spacing w:after="0"/>
              <w:rPr>
                <w:sz w:val="24"/>
                <w:szCs w:val="2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43"/>
        </w:trPr>
        <w:tc>
          <w:tcPr>
            <w:tcW w:w="9700" w:type="dxa"/>
            <w:vAlign w:val="bottom"/>
            <w:gridSpan w:val="6"/>
            <w:vMerge w:val="continue"/>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9700" w:type="dxa"/>
            <w:vAlign w:val="bottom"/>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Unaudited Condensed Consolidated Statements of Profit or Loss and Other Comprehensive Income/(Loss) for the three months ended March 31, 2026 and 2025</w:t>
            </w:r>
          </w:p>
        </w:tc>
        <w:tc>
          <w:tcPr>
            <w:tcW w:w="1580" w:type="dxa"/>
            <w:vAlign w:val="bottom"/>
            <w:gridSpan w:val="3"/>
          </w:tcPr>
          <w:p>
            <w:pPr>
              <w:jc w:val="center"/>
              <w:ind w:left="811"/>
              <w:spacing w:after="0" w:line="147" w:lineRule="exact"/>
              <w:rPr>
                <w:sz w:val="20"/>
                <w:szCs w:val="20"/>
                <w:color w:val="auto"/>
              </w:rPr>
            </w:pPr>
            <w:r>
              <w:rPr>
                <w:rFonts w:ascii="Times New Roman" w:cs="Times New Roman" w:eastAsia="Times New Roman" w:hAnsi="Times New Roman"/>
                <w:sz w:val="14"/>
                <w:szCs w:val="14"/>
                <w:color w:val="0000EE"/>
                <w:w w:val="85"/>
              </w:rPr>
              <w:t>2</w:t>
            </w:r>
          </w:p>
        </w:tc>
        <w:tc>
          <w:tcPr>
            <w:tcW w:w="0" w:type="dxa"/>
            <w:vAlign w:val="bottom"/>
          </w:tcPr>
          <w:p>
            <w:pPr>
              <w:spacing w:after="0"/>
              <w:rPr>
                <w:sz w:val="1"/>
                <w:szCs w:val="1"/>
                <w:color w:val="auto"/>
              </w:rPr>
            </w:pPr>
          </w:p>
        </w:tc>
      </w:tr>
      <w:tr>
        <w:trPr>
          <w:trHeight w:val="20"/>
        </w:trPr>
        <w:tc>
          <w:tcPr>
            <w:tcW w:w="38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4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0000EE"/>
                <w:w w:val="98"/>
              </w:rPr>
              <w:t>Unaudited Condensed Consolidated Balance Sheets as of March 31, 2026 and December 31, 2025</w:t>
            </w:r>
          </w:p>
        </w:tc>
        <w:tc>
          <w:tcPr>
            <w:tcW w:w="342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580" w:type="dxa"/>
            <w:vAlign w:val="bottom"/>
            <w:gridSpan w:val="3"/>
          </w:tcPr>
          <w:p>
            <w:pPr>
              <w:jc w:val="center"/>
              <w:ind w:left="811"/>
              <w:spacing w:after="0" w:line="145" w:lineRule="exact"/>
              <w:rPr>
                <w:sz w:val="20"/>
                <w:szCs w:val="20"/>
                <w:color w:val="auto"/>
              </w:rPr>
            </w:pPr>
            <w:r>
              <w:rPr>
                <w:rFonts w:ascii="Times New Roman" w:cs="Times New Roman" w:eastAsia="Times New Roman" w:hAnsi="Times New Roman"/>
                <w:sz w:val="14"/>
                <w:szCs w:val="14"/>
                <w:color w:val="0000EE"/>
                <w:w w:val="85"/>
              </w:rPr>
              <w:t>3</w:t>
            </w:r>
          </w:p>
        </w:tc>
        <w:tc>
          <w:tcPr>
            <w:tcW w:w="0" w:type="dxa"/>
            <w:vAlign w:val="bottom"/>
          </w:tcPr>
          <w:p>
            <w:pPr>
              <w:spacing w:after="0"/>
              <w:rPr>
                <w:sz w:val="1"/>
                <w:szCs w:val="1"/>
                <w:color w:val="auto"/>
              </w:rPr>
            </w:pPr>
          </w:p>
        </w:tc>
      </w:tr>
      <w:tr>
        <w:trPr>
          <w:trHeight w:val="20"/>
        </w:trPr>
        <w:tc>
          <w:tcPr>
            <w:tcW w:w="38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9700" w:type="dxa"/>
            <w:vAlign w:val="bottom"/>
            <w:gridSpan w:val="6"/>
          </w:tcPr>
          <w:p>
            <w:pPr>
              <w:spacing w:after="0" w:line="145" w:lineRule="exact"/>
              <w:rPr>
                <w:sz w:val="20"/>
                <w:szCs w:val="20"/>
                <w:color w:val="auto"/>
              </w:rPr>
            </w:pPr>
            <w:r>
              <w:rPr>
                <w:rFonts w:ascii="Times New Roman" w:cs="Times New Roman" w:eastAsia="Times New Roman" w:hAnsi="Times New Roman"/>
                <w:sz w:val="14"/>
                <w:szCs w:val="14"/>
                <w:color w:val="0000EE"/>
              </w:rPr>
              <w:t>Unaudited Condensed Consolidated Statements of Changes in Equity for the three months ended March 31, 2026 and 2025</w:t>
            </w:r>
          </w:p>
        </w:tc>
        <w:tc>
          <w:tcPr>
            <w:tcW w:w="1580" w:type="dxa"/>
            <w:vAlign w:val="bottom"/>
            <w:gridSpan w:val="3"/>
          </w:tcPr>
          <w:p>
            <w:pPr>
              <w:jc w:val="center"/>
              <w:ind w:left="811"/>
              <w:spacing w:after="0" w:line="145" w:lineRule="exact"/>
              <w:rPr>
                <w:sz w:val="20"/>
                <w:szCs w:val="20"/>
                <w:color w:val="auto"/>
              </w:rPr>
            </w:pPr>
            <w:r>
              <w:rPr>
                <w:rFonts w:ascii="Times New Roman" w:cs="Times New Roman" w:eastAsia="Times New Roman" w:hAnsi="Times New Roman"/>
                <w:sz w:val="14"/>
                <w:szCs w:val="14"/>
                <w:color w:val="0000EE"/>
                <w:w w:val="85"/>
              </w:rPr>
              <w:t>4</w:t>
            </w:r>
          </w:p>
        </w:tc>
        <w:tc>
          <w:tcPr>
            <w:tcW w:w="0" w:type="dxa"/>
            <w:vAlign w:val="bottom"/>
          </w:tcPr>
          <w:p>
            <w:pPr>
              <w:spacing w:after="0"/>
              <w:rPr>
                <w:sz w:val="1"/>
                <w:szCs w:val="1"/>
                <w:color w:val="auto"/>
              </w:rPr>
            </w:pPr>
          </w:p>
        </w:tc>
      </w:tr>
      <w:tr>
        <w:trPr>
          <w:trHeight w:val="20"/>
        </w:trPr>
        <w:tc>
          <w:tcPr>
            <w:tcW w:w="38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0000EE"/>
                <w:w w:val="98"/>
              </w:rPr>
              <w:t>Unaudited Condensed Consolidated Statements of Cash Flows for the three months ended March 31, 2026 and 2025</w:t>
            </w:r>
          </w:p>
        </w:tc>
        <w:tc>
          <w:tcPr>
            <w:tcW w:w="360" w:type="dxa"/>
            <w:vAlign w:val="bottom"/>
          </w:tcPr>
          <w:p>
            <w:pPr>
              <w:spacing w:after="0"/>
              <w:rPr>
                <w:sz w:val="12"/>
                <w:szCs w:val="12"/>
                <w:color w:val="auto"/>
              </w:rPr>
            </w:pPr>
          </w:p>
        </w:tc>
        <w:tc>
          <w:tcPr>
            <w:tcW w:w="2920" w:type="dxa"/>
            <w:vAlign w:val="bottom"/>
            <w:gridSpan w:val="2"/>
          </w:tcPr>
          <w:p>
            <w:pPr>
              <w:spacing w:after="0"/>
              <w:rPr>
                <w:sz w:val="12"/>
                <w:szCs w:val="12"/>
                <w:color w:val="auto"/>
              </w:rPr>
            </w:pPr>
          </w:p>
        </w:tc>
        <w:tc>
          <w:tcPr>
            <w:tcW w:w="1580" w:type="dxa"/>
            <w:vAlign w:val="bottom"/>
            <w:gridSpan w:val="3"/>
          </w:tcPr>
          <w:p>
            <w:pPr>
              <w:jc w:val="center"/>
              <w:ind w:left="811"/>
              <w:spacing w:after="0" w:line="145" w:lineRule="exact"/>
              <w:rPr>
                <w:sz w:val="20"/>
                <w:szCs w:val="20"/>
                <w:color w:val="auto"/>
              </w:rPr>
            </w:pPr>
            <w:r>
              <w:rPr>
                <w:rFonts w:ascii="Times New Roman" w:cs="Times New Roman" w:eastAsia="Times New Roman" w:hAnsi="Times New Roman"/>
                <w:sz w:val="14"/>
                <w:szCs w:val="14"/>
                <w:color w:val="0000EE"/>
                <w:w w:val="85"/>
              </w:rPr>
              <w:t>5</w:t>
            </w:r>
          </w:p>
        </w:tc>
        <w:tc>
          <w:tcPr>
            <w:tcW w:w="0" w:type="dxa"/>
            <w:vAlign w:val="bottom"/>
          </w:tcPr>
          <w:p>
            <w:pPr>
              <w:spacing w:after="0"/>
              <w:rPr>
                <w:sz w:val="1"/>
                <w:szCs w:val="1"/>
                <w:color w:val="auto"/>
              </w:rPr>
            </w:pPr>
          </w:p>
        </w:tc>
      </w:tr>
      <w:tr>
        <w:trPr>
          <w:trHeight w:val="20"/>
        </w:trPr>
        <w:tc>
          <w:tcPr>
            <w:tcW w:w="386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260" w:type="dxa"/>
            <w:vAlign w:val="bottom"/>
            <w:tcBorders>
              <w:right w:val="single" w:sz="8" w:color="0000EE"/>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4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color w:val="0000EE"/>
              </w:rPr>
              <w:t>Notes to the Unaudited Condensed Consolidated Financial Statements</w:t>
            </w:r>
          </w:p>
        </w:tc>
        <w:tc>
          <w:tcPr>
            <w:tcW w:w="3280" w:type="dxa"/>
            <w:vAlign w:val="bottom"/>
            <w:gridSpan w:val="3"/>
          </w:tcPr>
          <w:p>
            <w:pPr>
              <w:spacing w:after="0"/>
              <w:rPr>
                <w:sz w:val="12"/>
                <w:szCs w:val="12"/>
                <w:color w:val="auto"/>
              </w:rPr>
            </w:pPr>
          </w:p>
        </w:tc>
        <w:tc>
          <w:tcPr>
            <w:tcW w:w="1580" w:type="dxa"/>
            <w:vAlign w:val="bottom"/>
            <w:gridSpan w:val="3"/>
          </w:tcPr>
          <w:p>
            <w:pPr>
              <w:jc w:val="center"/>
              <w:ind w:left="811"/>
              <w:spacing w:after="0" w:line="145" w:lineRule="exact"/>
              <w:rPr>
                <w:sz w:val="20"/>
                <w:szCs w:val="20"/>
                <w:color w:val="auto"/>
              </w:rPr>
            </w:pPr>
            <w:r>
              <w:rPr>
                <w:rFonts w:ascii="Times New Roman" w:cs="Times New Roman" w:eastAsia="Times New Roman" w:hAnsi="Times New Roman"/>
                <w:sz w:val="14"/>
                <w:szCs w:val="14"/>
                <w:color w:val="0000EE"/>
                <w:w w:val="85"/>
              </w:rPr>
              <w:t>6</w:t>
            </w:r>
          </w:p>
        </w:tc>
        <w:tc>
          <w:tcPr>
            <w:tcW w:w="0" w:type="dxa"/>
            <w:vAlign w:val="bottom"/>
          </w:tcPr>
          <w:p>
            <w:pPr>
              <w:spacing w:after="0"/>
              <w:rPr>
                <w:sz w:val="1"/>
                <w:szCs w:val="1"/>
                <w:color w:val="auto"/>
              </w:rPr>
            </w:pPr>
          </w:p>
        </w:tc>
      </w:tr>
      <w:tr>
        <w:trPr>
          <w:trHeight w:val="528"/>
        </w:trPr>
        <w:tc>
          <w:tcPr>
            <w:tcW w:w="3860" w:type="dxa"/>
            <w:vAlign w:val="bottom"/>
            <w:tcBorders>
              <w:top w:val="single" w:sz="8" w:color="0000EE"/>
            </w:tcBorders>
          </w:tcPr>
          <w:p>
            <w:pPr>
              <w:spacing w:after="0"/>
              <w:rPr>
                <w:sz w:val="24"/>
                <w:szCs w:val="24"/>
                <w:color w:val="auto"/>
              </w:rPr>
            </w:pPr>
          </w:p>
        </w:tc>
        <w:tc>
          <w:tcPr>
            <w:tcW w:w="25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8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478"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PROFIT OR LOSS AND OTHER COMPREHENSIVE INCOME/(LOSS) (UNAUDITED)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 AND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48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vMerge w:val="restart"/>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1"/>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Digital assets sales</w:t>
            </w:r>
          </w:p>
        </w:tc>
        <w:tc>
          <w:tcPr>
            <w:tcW w:w="1480" w:type="dxa"/>
            <w:vAlign w:val="bottom"/>
            <w:shd w:val="clear" w:color="auto" w:fill="CCEEFF"/>
          </w:tcPr>
          <w:p>
            <w:pPr>
              <w:jc w:val="center"/>
              <w:ind w:left="51"/>
              <w:spacing w:after="0" w:line="156" w:lineRule="exact"/>
              <w:rPr>
                <w:sz w:val="20"/>
                <w:szCs w:val="20"/>
                <w:color w:val="auto"/>
              </w:rPr>
            </w:pPr>
            <w:r>
              <w:rPr>
                <w:rFonts w:ascii="Times New Roman" w:cs="Times New Roman" w:eastAsia="Times New Roman" w:hAnsi="Times New Roman"/>
                <w:sz w:val="14"/>
                <w:szCs w:val="14"/>
                <w:color w:val="auto"/>
              </w:rPr>
              <w:t>4</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51,812,747</w:t>
            </w: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80,236,157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Cost of digital assets derecognized</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(51,792,742)</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(80,209,641)</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revenues</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57,482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digital assets held, net</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(559,584)</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(246,762)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spread related income and change in fair value of perpetual futures on the Exchange</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investment in financial assets</w:t>
            </w:r>
          </w:p>
        </w:tc>
        <w:tc>
          <w:tcPr>
            <w:tcW w:w="14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(92,373)</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(71,810)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Administrative expenses</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(48,280)</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(47,186)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(45,530)</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(15,063)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expense</w:t>
            </w:r>
          </w:p>
        </w:tc>
        <w:tc>
          <w:tcPr>
            <w:tcW w:w="14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(14,088)</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69,197</w:t>
            </w: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financial liability at FVTPL</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8,500</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Income/(loss) before income tax</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(604,636)</w:t>
            </w: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(348,843)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Income tax benefit/(expense)</w:t>
            </w:r>
          </w:p>
        </w:tc>
        <w:tc>
          <w:tcPr>
            <w:tcW w:w="1480" w:type="dxa"/>
            <w:vAlign w:val="bottom"/>
            <w:shd w:val="clear" w:color="auto" w:fill="CCEEFF"/>
          </w:tcPr>
          <w:p>
            <w:pPr>
              <w:jc w:val="center"/>
              <w:ind w:left="51"/>
              <w:spacing w:after="0" w:line="156" w:lineRule="exact"/>
              <w:rPr>
                <w:sz w:val="20"/>
                <w:szCs w:val="20"/>
                <w:color w:val="auto"/>
              </w:rPr>
            </w:pPr>
            <w:r>
              <w:rPr>
                <w:rFonts w:ascii="Times New Roman" w:cs="Times New Roman" w:eastAsia="Times New Roman" w:hAnsi="Times New Roman"/>
                <w:sz w:val="14"/>
                <w:szCs w:val="14"/>
                <w:color w:val="auto"/>
                <w:w w:val="85"/>
              </w:rPr>
              <w:t>11</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(226)</w:t>
            </w:r>
          </w:p>
        </w:tc>
        <w:tc>
          <w:tcPr>
            <w:tcW w:w="3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0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Net income/(loss)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(604,862)</w:t>
            </w:r>
          </w:p>
        </w:tc>
        <w:tc>
          <w:tcPr>
            <w:tcW w:w="340" w:type="dxa"/>
            <w:vAlign w:val="bottom"/>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(348,622)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3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Owners of the Group</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(581,713)</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(343,994)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(23,149)</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income/(loss)</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(604,862)</w:t>
            </w: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(348,622)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comprehensive income/(loss)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Items that will not be subsequently reclassified to profit or loss: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Revaluation of digital assets held as investments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(26,636)</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(99,903)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Fair value gain/(loss) on financial liabilities designated as at FVTPL attributable to changes in credit risk</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14,250</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(12,386)</w:t>
            </w: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(93,853)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Items that may be reclassified subsequently to profit or loss: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differences on translation of foreign operations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(302)</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543</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3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comprehensive income/(loss)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(617,550)</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(441,932)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Owners of the Group</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(593,903)</w:t>
            </w: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(436,318)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(23,647)</w:t>
            </w: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comprehensive income/(loss)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(617,550)</w:t>
            </w:r>
          </w:p>
        </w:tc>
        <w:tc>
          <w:tcPr>
            <w:tcW w:w="340" w:type="dxa"/>
            <w:vAlign w:val="bottom"/>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(441,932)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63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 number of ordinary shares for the purposes of basic and diluted earnings/(loss) per</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4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23</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151,146</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113,215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4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23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151,146</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113,215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Earnings/(Loss) per share</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14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23</w:t>
            </w: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(3.85)</w:t>
            </w: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14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23</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(3.85)</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4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8"/>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(UNAUDITED)</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MARCH 31, 2026 AND DECEMBER 31, 2025</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62,682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63,062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intangible assets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30,535</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31,104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and right-of-use assets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26,465</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28,369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17,662</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non-current assets</w:t>
            </w: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146,179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152,438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4540" w:type="dxa"/>
            <w:vAlign w:val="bottom"/>
            <w:tcBorders>
              <w:top w:val="single" w:sz="8" w:color="CCEEFF"/>
            </w:tcBorders>
          </w:tcPr>
          <w:p>
            <w:pPr>
              <w:spacing w:after="0"/>
              <w:rPr>
                <w:sz w:val="13"/>
                <w:szCs w:val="13"/>
                <w:color w:val="auto"/>
              </w:rPr>
            </w:pPr>
          </w:p>
        </w:tc>
        <w:tc>
          <w:tcPr>
            <w:tcW w:w="80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assets held - inventories</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142,698</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held - intangible assets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1,298,611</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assets held - financial assets</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1,037,915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and other receivables - digital assets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395,684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Derivative financial instruments</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financial assets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266,640</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55,945</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47,502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segregated cash</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55,640</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17,003</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16,839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76,052</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87,892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Total current assets</w:t>
            </w:r>
          </w:p>
        </w:tc>
        <w:tc>
          <w:tcPr>
            <w:tcW w:w="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3,177,877</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3,804,066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3,324,056</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Borrowings from related parties</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24</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482,850</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redeemable preference shares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assets loan payable</w:t>
            </w:r>
          </w:p>
        </w:tc>
        <w:tc>
          <w:tcPr>
            <w:tcW w:w="2280" w:type="dxa"/>
            <w:vAlign w:val="bottom"/>
            <w:gridSpan w:val="2"/>
          </w:tcPr>
          <w:p>
            <w:pPr>
              <w:jc w:val="right"/>
              <w:ind w:right="531"/>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12,817</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14,378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Total non-current liabilities</w:t>
            </w:r>
          </w:p>
        </w:tc>
        <w:tc>
          <w:tcPr>
            <w:tcW w:w="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500,570</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528,263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segregated cash liabilities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55,640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20,044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Borrowings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49,982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loan payable</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payables</w:t>
            </w:r>
          </w:p>
        </w:tc>
        <w:tc>
          <w:tcPr>
            <w:tcW w:w="2280" w:type="dxa"/>
            <w:vAlign w:val="bottom"/>
            <w:gridSpan w:val="2"/>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58,092</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54,028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Total current liabilities</w:t>
            </w:r>
          </w:p>
        </w:tc>
        <w:tc>
          <w:tcPr>
            <w:tcW w:w="8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120,279</w:t>
            </w:r>
          </w:p>
        </w:tc>
        <w:tc>
          <w:tcPr>
            <w:tcW w:w="22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129,912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620,849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2,703,207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3,298,329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capital and share premium</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5,119,254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5,110,063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 premium on convertible redeemable preference shares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Reserves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390,214</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774,224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(2,860,139)</w:t>
            </w:r>
          </w:p>
        </w:tc>
        <w:tc>
          <w:tcPr>
            <w:tcW w:w="120" w:type="dxa"/>
            <w:vAlign w:val="bottom"/>
          </w:tcPr>
          <w:p>
            <w:pPr>
              <w:spacing w:after="0"/>
              <w:rPr>
                <w:sz w:val="14"/>
                <w:szCs w:val="14"/>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(2,668,100)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shareholders' equity attributable to the owners of the Group</w:t>
            </w:r>
          </w:p>
        </w:tc>
        <w:tc>
          <w:tcPr>
            <w:tcW w:w="8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2,649,329</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3,216,187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53,878</w:t>
            </w:r>
          </w:p>
        </w:tc>
        <w:tc>
          <w:tcPr>
            <w:tcW w:w="1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82,142</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w:t>
            </w:r>
          </w:p>
        </w:tc>
        <w:tc>
          <w:tcPr>
            <w:tcW w:w="8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2,703,207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3,298,329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5520" w:type="dxa"/>
            <w:vAlign w:val="bottom"/>
            <w:gridSpan w:val="3"/>
          </w:tcPr>
          <w:p>
            <w:pPr>
              <w:spacing w:after="0"/>
              <w:rPr>
                <w:sz w:val="20"/>
                <w:szCs w:val="20"/>
                <w:color w:val="auto"/>
              </w:rPr>
            </w:pPr>
            <w:r>
              <w:rPr>
                <w:rFonts w:ascii="Times New Roman" w:cs="Times New Roman" w:eastAsia="Times New Roman" w:hAnsi="Times New Roman"/>
                <w:sz w:val="14"/>
                <w:szCs w:val="14"/>
                <w:color w:val="auto"/>
                <w:w w:val="99"/>
              </w:rPr>
              <w:t>The accompanying notes are an integral part of these condensed consolidated financial statements.</w:t>
            </w: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00" w:type="dxa"/>
            <w:vAlign w:val="bottom"/>
          </w:tcPr>
          <w:p>
            <w:pPr>
              <w:jc w:val="right"/>
              <w:ind w:right="571"/>
              <w:spacing w:after="0"/>
              <w:rPr>
                <w:sz w:val="20"/>
                <w:szCs w:val="20"/>
                <w:color w:val="auto"/>
              </w:rPr>
            </w:pPr>
            <w:r>
              <w:rPr>
                <w:rFonts w:ascii="Times New Roman" w:cs="Times New Roman" w:eastAsia="Times New Roman" w:hAnsi="Times New Roman"/>
                <w:sz w:val="14"/>
                <w:szCs w:val="14"/>
                <w:color w:val="auto"/>
              </w:rPr>
              <w:t>3</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5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EQUITY (UNAUDITED)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 AND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Option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premium on</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Revaluation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convertible</w:t>
            </w:r>
          </w:p>
        </w:tc>
        <w:tc>
          <w:tcPr>
            <w:tcW w:w="10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reserves for</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attributable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redeemable</w:t>
            </w:r>
          </w:p>
        </w:tc>
        <w:tc>
          <w:tcPr>
            <w:tcW w:w="100" w:type="dxa"/>
            <w:vAlign w:val="bottom"/>
          </w:tcPr>
          <w:p>
            <w:pPr>
              <w:spacing w:after="0"/>
              <w:rPr>
                <w:sz w:val="13"/>
                <w:szCs w:val="13"/>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based</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digital assets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to the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Share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preference</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payment</w:t>
            </w:r>
          </w:p>
        </w:tc>
        <w:tc>
          <w:tcPr>
            <w:tcW w:w="8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held as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owners of</w:t>
            </w:r>
          </w:p>
        </w:tc>
        <w:tc>
          <w:tcPr>
            <w:tcW w:w="8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controlling</w:t>
            </w:r>
          </w:p>
        </w:tc>
        <w:tc>
          <w:tcPr>
            <w:tcW w:w="12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reserves</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59"/>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the Group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of January 1, 2025</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3,821,311</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18,399</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69,852</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731,838</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57,107</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(2,309,053)</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2,389,680</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10,979</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2,400,659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Net income/(loss)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2"/>
                <w:szCs w:val="12"/>
                <w:color w:val="auto"/>
              </w:rPr>
              <w:t>(343,994)</w:t>
            </w:r>
          </w:p>
        </w:tc>
        <w:tc>
          <w:tcPr>
            <w:tcW w:w="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(343,994)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(4,628)</w:t>
            </w:r>
          </w:p>
        </w:tc>
        <w:tc>
          <w:tcPr>
            <w:tcW w:w="12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(348,622)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income/(loss) for the</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(98,891)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(92,323)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(987)</w:t>
            </w:r>
          </w:p>
        </w:tc>
        <w:tc>
          <w:tcPr>
            <w:tcW w:w="12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(93,310)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period</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6,565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80" w:type="dxa"/>
            <w:vAlign w:val="bottom"/>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Total comprehensive income for the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year/period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(98,891)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6,565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2"/>
                <w:szCs w:val="12"/>
                <w:color w:val="auto"/>
              </w:rPr>
              <w:t>(343,994)</w:t>
            </w: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(436,317)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(5,615)</w:t>
            </w:r>
          </w:p>
        </w:tc>
        <w:tc>
          <w:tcPr>
            <w:tcW w:w="1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(441,932)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Issuance of shares, including exercise of</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Equity settled share-based payments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Transfer of revaluation gain of digital assets</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(51,347)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held as investments upon disposal</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51,347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6"/>
        </w:trPr>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 of March 31, 2025</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3,821,311</w:t>
            </w:r>
          </w:p>
        </w:tc>
        <w:tc>
          <w:tcPr>
            <w:tcW w:w="22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18,399</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74,988</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581,600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63,672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(2,601,700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1,958,496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5,364</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1,963,860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vMerge w:val="restart"/>
          </w:tcPr>
          <w:p>
            <w:pPr>
              <w:spacing w:after="0"/>
              <w:rPr>
                <w:sz w:val="10"/>
                <w:szCs w:val="10"/>
                <w:color w:val="auto"/>
              </w:rPr>
            </w:pPr>
          </w:p>
        </w:tc>
        <w:tc>
          <w:tcPr>
            <w:tcW w:w="22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 of January 1, 2026</w:t>
            </w:r>
          </w:p>
        </w:tc>
        <w:tc>
          <w:tcPr>
            <w:tcW w:w="200" w:type="dxa"/>
            <w:vAlign w:val="bottom"/>
            <w:gridSpan w:val="2"/>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5,109,762</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70,339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650,288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53,597</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2"/>
                <w:szCs w:val="12"/>
                <w:color w:val="auto"/>
              </w:rPr>
              <w:t>(2,668,100)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3,216,187</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82,142</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3,298,329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(581,713)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(581,713)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(23,149)</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(604,862)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income/(loss) for the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(25,621)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(12,190)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(498)</w:t>
            </w:r>
          </w:p>
        </w:tc>
        <w:tc>
          <w:tcPr>
            <w:tcW w:w="120" w:type="dxa"/>
            <w:vAlign w:val="bottom"/>
          </w:tcPr>
          <w:p>
            <w:pPr>
              <w:spacing w:after="0"/>
              <w:rPr>
                <w:sz w:val="12"/>
                <w:szCs w:val="12"/>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(12,688)</w:t>
            </w:r>
          </w:p>
        </w:tc>
        <w:tc>
          <w:tcPr>
            <w:tcW w:w="0" w:type="dxa"/>
            <w:vAlign w:val="bottom"/>
          </w:tcPr>
          <w:p>
            <w:pPr>
              <w:spacing w:after="0"/>
              <w:rPr>
                <w:sz w:val="1"/>
                <w:szCs w:val="1"/>
                <w:color w:val="auto"/>
              </w:rPr>
            </w:pPr>
          </w:p>
        </w:tc>
      </w:tr>
      <w:tr>
        <w:trPr>
          <w:trHeight w:val="160"/>
        </w:trPr>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period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13,431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income/(loss)</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(25,621)</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13,431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(581,713)</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(593,903)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(23,647)</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(617,550)</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including exercise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stock options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9,190</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(7,842)</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Trading Rewards Program Warrants Issued</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 in BMC1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16,342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2"/>
                <w:szCs w:val="12"/>
                <w:color w:val="auto"/>
              </w:rPr>
              <w:t>(11,854)</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(4,617)</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settled share-based payments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5,603</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5,603</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2"/>
                <w:szCs w:val="12"/>
                <w:color w:val="auto"/>
              </w:rPr>
              <w:t>Transfer of revaluation gain of digital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color w:val="auto"/>
              </w:rPr>
              <w:t>(401,528)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3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held as investments upon disposal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79"/>
              <w:spacing w:after="0"/>
              <w:rPr>
                <w:sz w:val="20"/>
                <w:szCs w:val="20"/>
                <w:color w:val="auto"/>
              </w:rPr>
            </w:pPr>
            <w:r>
              <w:rPr>
                <w:rFonts w:ascii="Times New Roman" w:cs="Times New Roman" w:eastAsia="Times New Roman" w:hAnsi="Times New Roman"/>
                <w:sz w:val="12"/>
                <w:szCs w:val="12"/>
                <w:color w:val="auto"/>
              </w:rPr>
              <w:t>401,528</w:t>
            </w: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 of March 31, 2026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5,118,952</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83,576</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239,481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67,157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(2,860,139</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2,649,329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53,878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2,703,207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1" w:name="page22"/>
    <w:bookmarkEnd w:id="21"/>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5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8"/>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 AND 2025</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7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7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ind w:right="531"/>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jc w:val="right"/>
              <w:ind w:right="51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8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(604,862)</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(348,622)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for:</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(5,686)</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(2,632)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 interest expense</w:t>
            </w:r>
          </w:p>
        </w:tc>
        <w:tc>
          <w:tcPr>
            <w:tcW w:w="14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13,777</w:t>
            </w: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Lease interest expense</w:t>
            </w:r>
          </w:p>
        </w:tc>
        <w:tc>
          <w:tcPr>
            <w:tcW w:w="14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foreign exchange loss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Share-based payments expenses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of property and equipment and right-of-use assets</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Amortization of other intangible assets</w:t>
            </w:r>
          </w:p>
        </w:tc>
        <w:tc>
          <w:tcPr>
            <w:tcW w:w="148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557</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right-of-use asset</w:t>
            </w:r>
          </w:p>
        </w:tc>
        <w:tc>
          <w:tcPr>
            <w:tcW w:w="1480" w:type="dxa"/>
            <w:vAlign w:val="bottom"/>
            <w:shd w:val="clear" w:color="auto" w:fill="CCEEFF"/>
          </w:tcPr>
          <w:p>
            <w:pPr>
              <w:jc w:val="center"/>
              <w:ind w:left="51"/>
              <w:spacing w:after="0"/>
              <w:rPr>
                <w:sz w:val="20"/>
                <w:szCs w:val="20"/>
                <w:color w:val="auto"/>
              </w:rPr>
            </w:pPr>
            <w:r>
              <w:rPr>
                <w:rFonts w:ascii="Times New Roman" w:cs="Times New Roman" w:eastAsia="Times New Roman" w:hAnsi="Times New Roman"/>
                <w:sz w:val="14"/>
                <w:szCs w:val="14"/>
                <w:color w:val="auto"/>
              </w:rPr>
              <w:t>9</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591</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from revaluation of digital assets and other investments in financial assets at FVTPL, net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226,419</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Change in fair value of financial liability at FVTPL</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(8,482)</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Impairment losses of digital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359,209</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142,088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Operating cash flows before changes in operating assets and liabilities</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4"/>
                <w:szCs w:val="14"/>
                <w:color w:val="auto"/>
              </w:rPr>
              <w:t>(10,893)</w:t>
            </w:r>
          </w:p>
        </w:tc>
        <w:tc>
          <w:tcPr>
            <w:tcW w:w="5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(14,557)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Decrease/(increase) in other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(21,737)</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deferred tax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(268)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digital assets held - inventories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digital assets held - intangible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digital assets held - financial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(307,298)</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(264,599)</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Decrease/(increase) in digital assets held - loan receivable</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391,604</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(Decrease) in other payables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(4,292)</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(7,438)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customer segregated cash liabilities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35,596</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Increase/(decrease) in digital assets held - customer segregated inventories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Increase/(decrease) in customer segregated liabilities - digital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in deferred tax liabilities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received</w:t>
            </w:r>
          </w:p>
        </w:tc>
        <w:tc>
          <w:tcPr>
            <w:tcW w:w="14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2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operating activities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90,923</w:t>
            </w:r>
          </w:p>
        </w:tc>
        <w:tc>
          <w:tcPr>
            <w:tcW w:w="54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(3,579)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534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digital assets for liquidation reserve</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 for loans made via margin lending services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paid for business combinations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acquired from business combinations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investment in financial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(6,449)</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(1,275)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on investment in financial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received from investment in derivative financial instruments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paid for investment in derivative financial instruments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(412)</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on disposal of property and equipment</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digital assets held - intangible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(907)</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(41,491)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on disposal of digital assets held - intangible assets</w:t>
            </w:r>
          </w:p>
        </w:tc>
        <w:tc>
          <w:tcPr>
            <w:tcW w:w="1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30,448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Prepayment on intangible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(3,403)</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(12,514)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Dividends paid</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paid</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(13,777)</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(10,240)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loans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74,300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 of loans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(50,000)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(49,300)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Repayment on lease liabilities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(1,126)</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(1,331)</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(63,554)</w:t>
            </w:r>
          </w:p>
        </w:tc>
        <w:tc>
          <w:tcPr>
            <w:tcW w:w="540" w:type="dxa"/>
            <w:vAlign w:val="bottom"/>
          </w:tcPr>
          <w:p>
            <w:pPr>
              <w:jc w:val="right"/>
              <w:ind w:right="391"/>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13,429</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5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increase/(decrease) in cash and cash equivalents, customer segregated cash and restricted cash</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23,966</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customer segregated cash and restricted cash at beginning of the period</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130,502</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55,783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Effects of exchange rate changes on cash and cash equivalents, customer segregated cash and restricted cash</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Cash and cash equivalents, customer segregated cash and restricted cash at end of the period</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154,535</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52,888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534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customer segregated cash and restricted cash consisted of the following:</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segregated cash</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55,640</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w:t>
            </w:r>
          </w:p>
        </w:tc>
        <w:tc>
          <w:tcPr>
            <w:tcW w:w="1480" w:type="dxa"/>
            <w:vAlign w:val="bottom"/>
            <w:shd w:val="clear" w:color="auto" w:fill="CCEEFF"/>
          </w:tcPr>
          <w:p>
            <w:pPr>
              <w:jc w:val="center"/>
              <w:ind w:left="71"/>
              <w:spacing w:after="0"/>
              <w:rPr>
                <w:sz w:val="20"/>
                <w:szCs w:val="20"/>
                <w:color w:val="auto"/>
              </w:rPr>
            </w:pPr>
            <w:r>
              <w:rPr>
                <w:rFonts w:ascii="Times New Roman" w:cs="Times New Roman" w:eastAsia="Times New Roman" w:hAnsi="Times New Roman"/>
                <w:sz w:val="14"/>
                <w:szCs w:val="14"/>
                <w:color w:val="auto"/>
                <w:w w:val="99"/>
              </w:rPr>
              <w:t>16</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22,843</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17,990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8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99"/>
              </w:rPr>
              <w:t>17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76,052</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63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cash and cash equivalents, customer segregated cash and restricted cash</w:t>
            </w: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154,535</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3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52,888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960" w:type="dxa"/>
            <w:vAlign w:val="bottom"/>
            <w:tcBorders>
              <w:top w:val="single" w:sz="8" w:color="CCEEFF"/>
            </w:tcBorders>
          </w:tcPr>
          <w:p>
            <w:pPr>
              <w:spacing w:after="0"/>
              <w:rPr>
                <w:sz w:val="13"/>
                <w:szCs w:val="13"/>
                <w:color w:val="auto"/>
              </w:rPr>
            </w:pPr>
          </w:p>
        </w:tc>
        <w:tc>
          <w:tcPr>
            <w:tcW w:w="5340" w:type="dxa"/>
            <w:vAlign w:val="bottom"/>
            <w:tcBorders>
              <w:top w:val="single" w:sz="8" w:color="CCEEFF"/>
            </w:tcBorders>
          </w:tcPr>
          <w:p>
            <w:pPr>
              <w:spacing w:after="0"/>
              <w:rPr>
                <w:sz w:val="13"/>
                <w:szCs w:val="13"/>
                <w:color w:val="auto"/>
              </w:rPr>
            </w:pPr>
          </w:p>
        </w:tc>
        <w:tc>
          <w:tcPr>
            <w:tcW w:w="148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Recognition of right-of-use assets against lease liabilities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of digital assets held - intangible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(3,395,970)</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(12,147,047)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on disposal of digital assets held - intangible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3,420,100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11,818,045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 loan receivables made, net</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(514,856)</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32,472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asset pledged as collateral made, net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98,452</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84,137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Received in Digital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 of investment in financial assets via USDC</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(10,116)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 on intangible assets made, net</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(7,366)</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Non-cash purchase of investment</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(6,770)</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proceeds of sales of investments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120,840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paid in digital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(4,683)</w:t>
            </w:r>
          </w:p>
        </w:tc>
        <w:tc>
          <w:tcPr>
            <w:tcW w:w="5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borrowings via digital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966,841</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Repayment from borrowings via digital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(962,963)</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(672,758)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digital assets loan payable via digital assets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154,928</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84,554</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Repayments from digital assets loan payable via digital assets</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(154,224)</w:t>
            </w:r>
          </w:p>
        </w:tc>
        <w:tc>
          <w:tcPr>
            <w:tcW w:w="5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(34,896)</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Ordinary shares</w:t>
            </w:r>
          </w:p>
        </w:tc>
        <w:tc>
          <w:tcPr>
            <w:tcW w:w="1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ectPr>
          <w:pgSz w:w="11900" w:h="16892" w:orient="portrait"/>
          <w:cols w:equalWidth="0" w:num="1">
            <w:col w:w="11280"/>
          </w:cols>
          <w:pgMar w:left="300" w:top="133" w:right="319" w:bottom="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9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159"/>
          </w:cols>
          <w:pgMar w:left="300" w:top="292"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General information</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Bullish (the “Company”) is an exempted company incorporated and domiciled in the Cayman Islands. The Company and its subsidiaries are collectively referred to as the “Group.” Our Common Stock, par value $0.002 per share (“common stock”), has been listed on the New York Stock Exchange under the ticker symbol “BLSH” since August 2025.</w:t>
      </w:r>
    </w:p>
    <w:p>
      <w:pPr>
        <w:spacing w:after="0" w:line="13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These unaudited condensed consolidated interim financial statements (the “interim financial statements”) are as of March 31, 2026 and for the three months ended March 31, 2026 and 2025. Comparative balance sheet information is as of December 31, 2025.</w:t>
      </w:r>
    </w:p>
    <w:p>
      <w:pPr>
        <w:spacing w:after="0" w:line="131"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The principal activity of the Group is providing infrastructure and information services. This includes the operations of its subsidiary, Bullish (GI) Limited, which operates a digital asset trading platform (the "Exchange") and CoinDesk Inc. ("CoinDesk") which provides digital asset media and information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interim financial statements are presented in U.S. dollars, which is the functional currency of the Group.</w:t>
      </w:r>
    </w:p>
    <w:p>
      <w:pPr>
        <w:spacing w:after="0" w:line="170"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4"/>
          <w:szCs w:val="14"/>
          <w:color w:val="auto"/>
        </w:rPr>
        <w:t>The Group operates as a single operating and reportable segment. The Chief Executive Officer (“CEO”) serves as the Chief Operating Decision Maker (“CODM”) and reviews financial information on a consolidated basis for purposes of resource allocation and performance assessment.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ind w:left="140" w:hanging="137"/>
        <w:spacing w:after="0"/>
        <w:tabs>
          <w:tab w:leader="none" w:pos="14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principal accounting policies</w:t>
      </w:r>
    </w:p>
    <w:p>
      <w:pPr>
        <w:spacing w:after="0" w:line="169"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2.1 Compliance with IFRS</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interim financial statements have been prepared in accordance with International Accounting Standard (“IAS”) 34, Interim Financial Reporting, as issued by the International Accounting Standards Board (“IASB”). Certain information or footnote disclosures, normally included in annual financial statements prepared in accordance with IFRS, have been condensed or omitted pursuant to the rules and regulations of the Securities and Exchange Commission (“SEC”) for interim financial reporting.</w:t>
      </w:r>
    </w:p>
    <w:p>
      <w:pPr>
        <w:spacing w:after="0" w:line="1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These interim financial Statements, in the opinion of management, reflect all normal and recurring adjustments necessary to fairly present our financial position, operating results and cash flows for the periods presented. All material intercompany transactions and balances have been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Interim results are not necessarily indicative of results expected for any other interim period or a full fiscal year.</w:t>
      </w:r>
    </w:p>
    <w:p>
      <w:pPr>
        <w:spacing w:after="0" w:line="170"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4"/>
          <w:szCs w:val="14"/>
          <w:color w:val="auto"/>
        </w:rPr>
        <w:t>These interim financial statements should be read in conjunction with the Group’s audited consolidated financial statements and the notes included in our annual report on Form 20-F for the year ended December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Basis of preparation and accounting policies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accounting policies have been consistently applied to the current and prior periods presented, as are the methods of computation unless otherwise stated.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New standards and amendments not yet effective</w:t>
      </w:r>
    </w:p>
    <w:p>
      <w:pPr>
        <w:spacing w:after="0" w:line="17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Group has evaluated the new standards and amendments disclosed in the annual financial statements that are effective for the current period and determined that they are not applicable to these interim financial statements. The Group is in the process of reviewing the effects of applying the new standards and amendments disclosed in the annual financial statements that are not yet effective.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Critical accounting judgments and key sources of estimation uncertainty</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In preparing these interim financial statements, management has made judgments, estimates, and assumptions that affect the reported amounts of assets and liabilities, income, and expenses. Actual results may differ from these estimates.</w:t>
      </w:r>
    </w:p>
    <w:p>
      <w:pPr>
        <w:spacing w:after="0" w:line="13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significant judgments and key sources of estimation uncertainty applied are consistent with those described in the Group’s audited consolidated financial statements for the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Digital assets sales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summarize the disaggregation of Digital assets sales by venue for the three months ended March 31, 2026 and 2025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6"/>
        </w:trPr>
        <w:tc>
          <w:tcPr>
            <w:tcW w:w="80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r>
      <w:tr>
        <w:trPr>
          <w:trHeight w:val="156"/>
        </w:trPr>
        <w:tc>
          <w:tcPr>
            <w:tcW w:w="802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On the Exchange</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51,812,747</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79,932,294</w:t>
            </w:r>
          </w:p>
        </w:tc>
        <w:tc>
          <w:tcPr>
            <w:tcW w:w="100" w:type="dxa"/>
            <w:vAlign w:val="bottom"/>
            <w:shd w:val="clear" w:color="auto" w:fill="CCEEFF"/>
          </w:tcPr>
          <w:p>
            <w:pPr>
              <w:spacing w:after="0"/>
              <w:rPr>
                <w:sz w:val="13"/>
                <w:szCs w:val="13"/>
                <w:color w:val="auto"/>
              </w:rPr>
            </w:pPr>
          </w:p>
        </w:tc>
      </w:tr>
      <w:tr>
        <w:trPr>
          <w:trHeight w:val="176"/>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3"/>
                <w:szCs w:val="13"/>
                <w:color w:val="auto"/>
              </w:rPr>
              <w:t>On other venues</w:t>
            </w:r>
            <w:r>
              <w:rPr>
                <w:rFonts w:ascii="Times New Roman" w:cs="Times New Roman" w:eastAsia="Times New Roman" w:hAnsi="Times New Roman"/>
                <w:sz w:val="20"/>
                <w:szCs w:val="20"/>
                <w:color w:val="auto"/>
                <w:vertAlign w:val="superscript"/>
              </w:rPr>
              <w:t>(i)</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303,863</w:t>
            </w:r>
          </w:p>
        </w:tc>
        <w:tc>
          <w:tcPr>
            <w:tcW w:w="100" w:type="dxa"/>
            <w:vAlign w:val="bottom"/>
          </w:tcPr>
          <w:p>
            <w:pPr>
              <w:spacing w:after="0"/>
              <w:rPr>
                <w:sz w:val="15"/>
                <w:szCs w:val="15"/>
                <w:color w:val="auto"/>
              </w:rPr>
            </w:pPr>
          </w:p>
        </w:tc>
      </w:tr>
      <w:tr>
        <w:trPr>
          <w:trHeight w:val="166"/>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Digital asset sales</w:t>
            </w: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51,812,747</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80,236,157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ind w:left="5600" w:right="4800" w:hanging="5597"/>
        <w:spacing w:after="0" w:line="365" w:lineRule="auto"/>
        <w:tabs>
          <w:tab w:leader="none" w:pos="24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venues means other exchanges or over-the-counter brokers that were used to purchase or sell digital assets.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7164705"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Digital assets sales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the table of Digital assets sales on the Exchange disaggregated by major geography, based on domicile of the customers, accounting for 10% or more of total Digital assets sales on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6"/>
        </w:trPr>
        <w:tc>
          <w:tcPr>
            <w:tcW w:w="80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United Kingdom</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16,206,077</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25,685,960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United Arab Emirates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11,155,749</w:t>
            </w: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Cayman Islands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10,731,831</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2,128,129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Singapore</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12,019,194</w:t>
            </w:r>
          </w:p>
        </w:tc>
        <w:tc>
          <w:tcPr>
            <w:tcW w:w="80" w:type="dxa"/>
            <w:vAlign w:val="bottom"/>
          </w:tcPr>
          <w:p>
            <w:pPr>
              <w:spacing w:after="0"/>
              <w:rPr>
                <w:sz w:val="14"/>
                <w:szCs w:val="14"/>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British Virgin Islands</w:t>
            </w:r>
          </w:p>
        </w:tc>
        <w:tc>
          <w:tcPr>
            <w:tcW w:w="3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18,309,865</w:t>
            </w:r>
          </w:p>
        </w:tc>
        <w:tc>
          <w:tcPr>
            <w:tcW w:w="80" w:type="dxa"/>
            <w:vAlign w:val="bottom"/>
            <w:shd w:val="clear" w:color="auto" w:fill="CCEEFF"/>
          </w:tcPr>
          <w:p>
            <w:pPr>
              <w:spacing w:after="0"/>
              <w:rPr>
                <w:sz w:val="14"/>
                <w:szCs w:val="14"/>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Cyprus</w:t>
            </w:r>
          </w:p>
        </w:tc>
        <w:tc>
          <w:tcPr>
            <w:tcW w:w="34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8,112,789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 of the World</w:t>
            </w:r>
          </w:p>
        </w:tc>
        <w:tc>
          <w:tcPr>
            <w:tcW w:w="3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13,719,090</w:t>
            </w:r>
          </w:p>
        </w:tc>
        <w:tc>
          <w:tcPr>
            <w:tcW w:w="3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13,676,357</w:t>
            </w:r>
          </w:p>
        </w:tc>
        <w:tc>
          <w:tcPr>
            <w:tcW w:w="80" w:type="dxa"/>
            <w:vAlign w:val="bottom"/>
            <w:shd w:val="clear" w:color="auto" w:fill="CCEEFF"/>
          </w:tcPr>
          <w:p>
            <w:pPr>
              <w:spacing w:after="0"/>
              <w:rPr>
                <w:sz w:val="15"/>
                <w:szCs w:val="15"/>
                <w:color w:val="auto"/>
              </w:rPr>
            </w:pPr>
          </w:p>
        </w:tc>
      </w:tr>
      <w:tr>
        <w:trPr>
          <w:trHeight w:val="166"/>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Total Digital asset sales</w:t>
            </w: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51,812,747</w:t>
            </w:r>
          </w:p>
        </w:tc>
        <w:tc>
          <w:tcPr>
            <w:tcW w:w="22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79,932,294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Digital asset sales attributable to the geography during the period did not exceed the 10% threshold.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are the tables of Digital assets sales on the Exchange disaggregated by major customers accounting for 10% or more of total Digital assets sales on the Exchange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2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6"/>
        </w:trPr>
        <w:tc>
          <w:tcPr>
            <w:tcW w:w="802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Customer A</w:t>
            </w:r>
          </w:p>
        </w:tc>
        <w:tc>
          <w:tcPr>
            <w:tcW w:w="14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11,270,806</w:t>
            </w:r>
          </w:p>
        </w:tc>
        <w:tc>
          <w:tcPr>
            <w:tcW w:w="100" w:type="dxa"/>
            <w:vAlign w:val="bottom"/>
            <w:shd w:val="clear" w:color="auto" w:fill="CCEEFF"/>
          </w:tcPr>
          <w:p>
            <w:pPr>
              <w:spacing w:after="0"/>
              <w:rPr>
                <w:sz w:val="13"/>
                <w:szCs w:val="13"/>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Customer B</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13,026,209</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23,077,454</w:t>
            </w: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C</w:t>
            </w:r>
          </w:p>
        </w:tc>
        <w:tc>
          <w:tcPr>
            <w:tcW w:w="1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8,079,531</w:t>
            </w:r>
          </w:p>
        </w:tc>
        <w:tc>
          <w:tcPr>
            <w:tcW w:w="100" w:type="dxa"/>
            <w:vAlign w:val="bottom"/>
            <w:shd w:val="clear" w:color="auto" w:fill="CCEEFF"/>
          </w:tcPr>
          <w:p>
            <w:pPr>
              <w:spacing w:after="0"/>
              <w:rPr>
                <w:sz w:val="14"/>
                <w:szCs w:val="14"/>
                <w:color w:val="auto"/>
              </w:rPr>
            </w:pPr>
          </w:p>
        </w:tc>
      </w:tr>
      <w:tr>
        <w:trPr>
          <w:trHeight w:val="179"/>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Customer D</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10,670,100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Digital asset sales attributable to the customer during the period did not exceed the 10% threshold.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Cost of digital assets derecognized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Cost of digital assets derecognized by venue for the three months ended March 31, 2026 and 2025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6"/>
        </w:trPr>
        <w:tc>
          <w:tcPr>
            <w:tcW w:w="80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r>
      <w:tr>
        <w:trPr>
          <w:trHeight w:val="156"/>
        </w:trPr>
        <w:tc>
          <w:tcPr>
            <w:tcW w:w="8020" w:type="dxa"/>
            <w:vAlign w:val="bottom"/>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On the Exchange</w:t>
            </w: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51,792,742</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79,905,816</w:t>
            </w:r>
          </w:p>
        </w:tc>
        <w:tc>
          <w:tcPr>
            <w:tcW w:w="100" w:type="dxa"/>
            <w:vAlign w:val="bottom"/>
            <w:shd w:val="clear" w:color="auto" w:fill="CCEEFF"/>
          </w:tcPr>
          <w:p>
            <w:pPr>
              <w:spacing w:after="0"/>
              <w:rPr>
                <w:sz w:val="13"/>
                <w:szCs w:val="13"/>
                <w:color w:val="auto"/>
              </w:rPr>
            </w:pPr>
          </w:p>
        </w:tc>
      </w:tr>
      <w:tr>
        <w:trPr>
          <w:trHeight w:val="176"/>
        </w:trPr>
        <w:tc>
          <w:tcPr>
            <w:tcW w:w="8020" w:type="dxa"/>
            <w:vAlign w:val="bottom"/>
            <w:tcBorders>
              <w:bottom w:val="single" w:sz="8" w:color="CCEEFF"/>
            </w:tcBorders>
          </w:tcPr>
          <w:p>
            <w:pPr>
              <w:ind w:left="120"/>
              <w:spacing w:after="0" w:line="176" w:lineRule="exact"/>
              <w:rPr>
                <w:sz w:val="20"/>
                <w:szCs w:val="20"/>
                <w:color w:val="auto"/>
              </w:rPr>
            </w:pPr>
            <w:r>
              <w:rPr>
                <w:rFonts w:ascii="Times New Roman" w:cs="Times New Roman" w:eastAsia="Times New Roman" w:hAnsi="Times New Roman"/>
                <w:sz w:val="13"/>
                <w:szCs w:val="13"/>
                <w:color w:val="auto"/>
              </w:rPr>
              <w:t>On other venues</w:t>
            </w:r>
            <w:r>
              <w:rPr>
                <w:rFonts w:ascii="Times New Roman" w:cs="Times New Roman" w:eastAsia="Times New Roman" w:hAnsi="Times New Roman"/>
                <w:sz w:val="20"/>
                <w:szCs w:val="20"/>
                <w:color w:val="auto"/>
                <w:vertAlign w:val="superscript"/>
              </w:rPr>
              <w:t>(i)</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303,825</w:t>
            </w:r>
          </w:p>
        </w:tc>
        <w:tc>
          <w:tcPr>
            <w:tcW w:w="100" w:type="dxa"/>
            <w:vAlign w:val="bottom"/>
            <w:tcBorders>
              <w:bottom w:val="single" w:sz="8" w:color="CCEEFF"/>
            </w:tcBorders>
          </w:tcPr>
          <w:p>
            <w:pPr>
              <w:spacing w:after="0"/>
              <w:rPr>
                <w:sz w:val="15"/>
                <w:szCs w:val="15"/>
                <w:color w:val="auto"/>
              </w:rPr>
            </w:pPr>
          </w:p>
        </w:tc>
      </w:tr>
      <w:tr>
        <w:trPr>
          <w:trHeight w:val="16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 of digital assets derecognized</w:t>
            </w: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51,792,742</w:t>
            </w:r>
          </w:p>
        </w:tc>
        <w:tc>
          <w:tcPr>
            <w:tcW w:w="2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80,209,641</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7"/>
        <w:spacing w:after="0"/>
        <w:tabs>
          <w:tab w:leader="none" w:pos="2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Other venues means other exchanges or over-the-counter brokers that were used to purchase or sell digital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6 Other revenues</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Other revenues by category for the three months ended March 31, 2026 and 2025 (in thousands).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802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2"/>
                <w:szCs w:val="12"/>
                <w:color w:val="auto"/>
              </w:rPr>
              <w:t>Transaction fee income</w:t>
            </w:r>
            <w:r>
              <w:rPr>
                <w:rFonts w:ascii="Times New Roman" w:cs="Times New Roman" w:eastAsia="Times New Roman" w:hAnsi="Times New Roman"/>
                <w:sz w:val="18"/>
                <w:szCs w:val="18"/>
                <w:color w:val="auto"/>
                <w:vertAlign w:val="superscript"/>
              </w:rPr>
              <w:t>(i)</w:t>
            </w:r>
          </w:p>
        </w:tc>
        <w:tc>
          <w:tcPr>
            <w:tcW w:w="98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2,712</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563</w:t>
            </w:r>
          </w:p>
        </w:tc>
        <w:tc>
          <w:tcPr>
            <w:tcW w:w="100" w:type="dxa"/>
            <w:vAlign w:val="bottom"/>
            <w:shd w:val="clear" w:color="auto" w:fill="CCEEFF"/>
          </w:tcPr>
          <w:p>
            <w:pPr>
              <w:spacing w:after="0"/>
              <w:rPr>
                <w:sz w:val="13"/>
                <w:szCs w:val="13"/>
                <w:color w:val="auto"/>
              </w:rPr>
            </w:pPr>
          </w:p>
        </w:tc>
      </w:tr>
      <w:tr>
        <w:trPr>
          <w:trHeight w:val="176"/>
        </w:trPr>
        <w:tc>
          <w:tcPr>
            <w:tcW w:w="8020" w:type="dxa"/>
            <w:vAlign w:val="bottom"/>
          </w:tcPr>
          <w:p>
            <w:pPr>
              <w:spacing w:after="0" w:line="176" w:lineRule="exact"/>
              <w:rPr>
                <w:sz w:val="20"/>
                <w:szCs w:val="20"/>
                <w:color w:val="auto"/>
              </w:rPr>
            </w:pPr>
            <w:r>
              <w:rPr>
                <w:rFonts w:ascii="Times New Roman" w:cs="Times New Roman" w:eastAsia="Times New Roman" w:hAnsi="Times New Roman"/>
                <w:sz w:val="13"/>
                <w:szCs w:val="13"/>
                <w:color w:val="auto"/>
              </w:rPr>
              <w:t>Subscription and services revenue</w:t>
            </w:r>
            <w:r>
              <w:rPr>
                <w:rFonts w:ascii="Times New Roman" w:cs="Times New Roman" w:eastAsia="Times New Roman" w:hAnsi="Times New Roman"/>
                <w:sz w:val="20"/>
                <w:szCs w:val="20"/>
                <w:color w:val="auto"/>
                <w:vertAlign w:val="superscript"/>
              </w:rPr>
              <w:t>(ii)</w:t>
            </w:r>
          </w:p>
        </w:tc>
        <w:tc>
          <w:tcPr>
            <w:tcW w:w="9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54,770</w:t>
            </w:r>
          </w:p>
        </w:tc>
        <w:tc>
          <w:tcPr>
            <w:tcW w:w="9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19,741</w:t>
            </w:r>
          </w:p>
        </w:tc>
      </w:tr>
      <w:tr>
        <w:trPr>
          <w:trHeight w:val="166"/>
        </w:trPr>
        <w:tc>
          <w:tcPr>
            <w:tcW w:w="8020" w:type="dxa"/>
            <w:vAlign w:val="bottom"/>
            <w:tcBorders>
              <w:top w:val="single" w:sz="8" w:color="CCEEFF"/>
              <w:bottom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2"/>
                <w:szCs w:val="12"/>
                <w:color w:val="auto"/>
              </w:rPr>
              <w:t>Total Other revenues</w:t>
            </w:r>
            <w:r>
              <w:rPr>
                <w:rFonts w:ascii="Times New Roman" w:cs="Times New Roman" w:eastAsia="Times New Roman" w:hAnsi="Times New Roman"/>
                <w:sz w:val="19"/>
                <w:szCs w:val="19"/>
                <w:color w:val="auto"/>
                <w:vertAlign w:val="superscript"/>
              </w:rPr>
              <w:t>(iii)</w:t>
            </w:r>
          </w:p>
        </w:tc>
        <w:tc>
          <w:tcPr>
            <w:tcW w:w="98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57,482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7"/>
        <w:spacing w:after="0"/>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the three months ended March 31, 2026 and 2025, the Exchange recorded Transaction fee income from peer-to-peer spot trades of $0.4 million and $0.5 million, respectively.</w:t>
      </w:r>
    </w:p>
    <w:p>
      <w:pPr>
        <w:spacing w:after="0" w:line="124" w:lineRule="exact"/>
        <w:rPr>
          <w:rFonts w:ascii="Times New Roman" w:cs="Times New Roman" w:eastAsia="Times New Roman" w:hAnsi="Times New Roman"/>
          <w:sz w:val="23"/>
          <w:szCs w:val="23"/>
          <w:color w:val="auto"/>
          <w:vertAlign w:val="superscript"/>
        </w:rPr>
      </w:pPr>
    </w:p>
    <w:p>
      <w:pPr>
        <w:ind w:left="260" w:hanging="257"/>
        <w:spacing w:after="0" w:line="186" w:lineRule="auto"/>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interest income of $5.5 million and $2.6 million for the three months ended March 31, 2026 and 2025, respectively.</w:t>
      </w:r>
    </w:p>
    <w:p>
      <w:pPr>
        <w:spacing w:after="0" w:line="152" w:lineRule="exact"/>
        <w:rPr>
          <w:rFonts w:ascii="Times New Roman" w:cs="Times New Roman" w:eastAsia="Times New Roman" w:hAnsi="Times New Roman"/>
          <w:sz w:val="23"/>
          <w:szCs w:val="23"/>
          <w:color w:val="auto"/>
          <w:vertAlign w:val="superscript"/>
        </w:rPr>
      </w:pPr>
    </w:p>
    <w:p>
      <w:pPr>
        <w:jc w:val="both"/>
        <w:ind w:left="260" w:hanging="257"/>
        <w:spacing w:after="0" w:line="208" w:lineRule="auto"/>
        <w:tabs>
          <w:tab w:leader="none" w:pos="2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interest income and other income from non-customers of $21.4 million and $2.7 million for the three months ended March 31, 2026 and 2025, respectively. For the three months ended March 31, 2026, $5.5 million relates to interest income (see footnote (ii)), with the remaining $15.9 million representing other income from noncustomers. For the three months ended March 31, 2025, $2.6 million relates to interest income (see footnote (ii)), with the remaining $0.1 million representing other income from noncustomers.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fair value of digital assets held,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the Change in fair value of digital assets held, net for the three months ended March 31, 2026 and 2025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262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0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Change in fair value of digital asset inventories, arising from purchase of digital assets on the Exchange</w:t>
            </w:r>
          </w:p>
        </w:tc>
        <w:tc>
          <w:tcPr>
            <w:tcW w:w="94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15,265</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7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18,688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digital asset inventories and financial assets, net of change in fair value of the payable to customers</w:t>
            </w:r>
          </w:p>
        </w:tc>
        <w:tc>
          <w:tcPr>
            <w:tcW w:w="9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(150,924)</w:t>
            </w:r>
          </w:p>
        </w:tc>
        <w:tc>
          <w:tcPr>
            <w:tcW w:w="92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(115,267)</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fair value of loan and other receivables - digital assets</w:t>
            </w:r>
          </w:p>
        </w:tc>
        <w:tc>
          <w:tcPr>
            <w:tcW w:w="9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(73,235)</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(21,400)</w:t>
            </w: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digital asset loan payable</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280</w:t>
            </w:r>
          </w:p>
        </w:tc>
        <w:tc>
          <w:tcPr>
            <w:tcW w:w="9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13,305</w:t>
            </w: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losses of digital asset held - intangible assets</w:t>
            </w:r>
          </w:p>
        </w:tc>
        <w:tc>
          <w:tcPr>
            <w:tcW w:w="9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(350,970)</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(142,088)</w:t>
            </w:r>
          </w:p>
        </w:tc>
        <w:tc>
          <w:tcPr>
            <w:tcW w:w="0" w:type="dxa"/>
            <w:vAlign w:val="bottom"/>
          </w:tcPr>
          <w:p>
            <w:pPr>
              <w:spacing w:after="0"/>
              <w:rPr>
                <w:sz w:val="1"/>
                <w:szCs w:val="1"/>
                <w:color w:val="auto"/>
              </w:rPr>
            </w:pPr>
          </w:p>
        </w:tc>
      </w:tr>
      <w:tr>
        <w:trPr>
          <w:trHeight w:val="166"/>
        </w:trPr>
        <w:tc>
          <w:tcPr>
            <w:tcW w:w="8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Change in fair value of digital assets held, net</w:t>
            </w:r>
          </w:p>
        </w:tc>
        <w:tc>
          <w:tcPr>
            <w:tcW w:w="940" w:type="dxa"/>
            <w:vAlign w:val="bottom"/>
            <w:tcBorders>
              <w:top w:val="single" w:sz="8" w:color="auto"/>
              <w:bottom w:val="single" w:sz="8" w:color="auto"/>
            </w:tcBorders>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(559,584</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920" w:type="dxa"/>
            <w:vAlign w:val="bottom"/>
            <w:tcBorders>
              <w:top w:val="single" w:sz="8" w:color="auto"/>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(246,762</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8 Administrative expenses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Administrative expenses for the three months ended March 31, 2026 and 2025 (in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2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Compensation and benefits</w:t>
            </w:r>
          </w:p>
        </w:tc>
        <w:tc>
          <w:tcPr>
            <w:tcW w:w="94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38,253</w:t>
            </w:r>
          </w:p>
        </w:tc>
        <w:tc>
          <w:tcPr>
            <w:tcW w:w="920" w:type="dxa"/>
            <w:vAlign w:val="bottom"/>
            <w:shd w:val="clear" w:color="auto" w:fill="CCEEFF"/>
          </w:tcPr>
          <w:p>
            <w:pPr>
              <w:jc w:val="right"/>
              <w:ind w:right="7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35,602</w:t>
            </w:r>
          </w:p>
        </w:tc>
        <w:tc>
          <w:tcPr>
            <w:tcW w:w="0" w:type="dxa"/>
            <w:vAlign w:val="bottom"/>
          </w:tcPr>
          <w:p>
            <w:pPr>
              <w:spacing w:after="0"/>
              <w:rPr>
                <w:sz w:val="1"/>
                <w:szCs w:val="1"/>
                <w:color w:val="auto"/>
              </w:rPr>
            </w:pPr>
          </w:p>
        </w:tc>
      </w:tr>
      <w:tr>
        <w:trPr>
          <w:trHeight w:val="176"/>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Legal and professional fees</w:t>
            </w:r>
          </w:p>
        </w:tc>
        <w:tc>
          <w:tcPr>
            <w:tcW w:w="94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10,027</w:t>
            </w:r>
          </w:p>
        </w:tc>
        <w:tc>
          <w:tcPr>
            <w:tcW w:w="9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service fees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80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2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Administrative expenses</w:t>
            </w:r>
          </w:p>
        </w:tc>
        <w:tc>
          <w:tcPr>
            <w:tcW w:w="940" w:type="dxa"/>
            <w:vAlign w:val="bottom"/>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48,280</w:t>
            </w:r>
          </w:p>
        </w:tc>
        <w:tc>
          <w:tcPr>
            <w:tcW w:w="220" w:type="dxa"/>
            <w:vAlign w:val="bottom"/>
          </w:tcPr>
          <w:p>
            <w:pPr>
              <w:spacing w:after="0"/>
              <w:rPr>
                <w:sz w:val="13"/>
                <w:szCs w:val="13"/>
                <w:color w:val="auto"/>
              </w:rPr>
            </w:pPr>
          </w:p>
        </w:tc>
        <w:tc>
          <w:tcPr>
            <w:tcW w:w="920" w:type="dxa"/>
            <w:vAlign w:val="bottom"/>
          </w:tcPr>
          <w:p>
            <w:pPr>
              <w:jc w:val="right"/>
              <w:ind w:right="7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47,186</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9 Other expenses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Other expenses for the three months ended March 31, 2026 and 2025 (in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8020" w:type="dxa"/>
            <w:vAlign w:val="bottom"/>
          </w:tcPr>
          <w:p>
            <w:pPr>
              <w:spacing w:after="0"/>
              <w:rPr>
                <w:sz w:val="24"/>
                <w:szCs w:val="24"/>
                <w:color w:val="auto"/>
              </w:rPr>
            </w:pPr>
          </w:p>
        </w:tc>
        <w:tc>
          <w:tcPr>
            <w:tcW w:w="262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80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Information technology and software expenses</w:t>
            </w:r>
          </w:p>
        </w:tc>
        <w:tc>
          <w:tcPr>
            <w:tcW w:w="94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5,713</w:t>
            </w:r>
          </w:p>
        </w:tc>
        <w:tc>
          <w:tcPr>
            <w:tcW w:w="920" w:type="dxa"/>
            <w:vAlign w:val="bottom"/>
            <w:shd w:val="clear" w:color="auto" w:fill="CCEEFF"/>
          </w:tcPr>
          <w:p>
            <w:pPr>
              <w:jc w:val="right"/>
              <w:ind w:right="7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4,547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Production expenses</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3,727</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property and equipment and right-of-use assets</w:t>
            </w:r>
          </w:p>
        </w:tc>
        <w:tc>
          <w:tcPr>
            <w:tcW w:w="9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1,670</w:t>
            </w: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Advertisement and promotion expenses</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2,056</w:t>
            </w:r>
          </w:p>
        </w:tc>
        <w:tc>
          <w:tcPr>
            <w:tcW w:w="9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9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557</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616</w:t>
            </w: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Custody fees</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413</w:t>
            </w:r>
          </w:p>
        </w:tc>
        <w:tc>
          <w:tcPr>
            <w:tcW w:w="9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share-based payment expenses</w:t>
            </w:r>
          </w:p>
        </w:tc>
        <w:tc>
          <w:tcPr>
            <w:tcW w:w="9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15,438</w:t>
            </w:r>
          </w:p>
        </w:tc>
        <w:tc>
          <w:tcPr>
            <w:tcW w:w="9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Impairment of right-of-use assets</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591</w:t>
            </w:r>
          </w:p>
        </w:tc>
        <w:tc>
          <w:tcPr>
            <w:tcW w:w="9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 impairment</w:t>
            </w:r>
          </w:p>
        </w:tc>
        <w:tc>
          <w:tcPr>
            <w:tcW w:w="9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8,239</w:t>
            </w:r>
          </w:p>
        </w:tc>
        <w:tc>
          <w:tcPr>
            <w:tcW w:w="9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7,126</w:t>
            </w: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Other expenses</w:t>
            </w:r>
          </w:p>
        </w:tc>
        <w:tc>
          <w:tcPr>
            <w:tcW w:w="94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4"/>
                <w:szCs w:val="14"/>
                <w:color w:val="auto"/>
              </w:rPr>
              <w:t>45,530</w:t>
            </w:r>
          </w:p>
        </w:tc>
        <w:tc>
          <w:tcPr>
            <w:tcW w:w="920" w:type="dxa"/>
            <w:vAlign w:val="bottom"/>
            <w:shd w:val="clear" w:color="auto" w:fill="CCEEFF"/>
          </w:tcPr>
          <w:p>
            <w:pPr>
              <w:jc w:val="right"/>
              <w:ind w:right="7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60"/>
              <w:spacing w:after="0" w:line="156" w:lineRule="exact"/>
              <w:rPr>
                <w:sz w:val="20"/>
                <w:szCs w:val="20"/>
                <w:color w:val="auto"/>
              </w:rPr>
            </w:pPr>
            <w:r>
              <w:rPr>
                <w:rFonts w:ascii="Times New Roman" w:cs="Times New Roman" w:eastAsia="Times New Roman" w:hAnsi="Times New Roman"/>
                <w:sz w:val="14"/>
                <w:szCs w:val="14"/>
                <w:color w:val="auto"/>
              </w:rPr>
              <w:t>15,063</w:t>
            </w:r>
          </w:p>
        </w:tc>
        <w:tc>
          <w:tcPr>
            <w:tcW w:w="0" w:type="dxa"/>
            <w:vAlign w:val="bottom"/>
          </w:tcPr>
          <w:p>
            <w:pPr>
              <w:spacing w:after="0"/>
              <w:rPr>
                <w:sz w:val="1"/>
                <w:szCs w:val="1"/>
                <w:color w:val="auto"/>
              </w:rPr>
            </w:pPr>
          </w:p>
        </w:tc>
      </w:tr>
      <w:tr>
        <w:trPr>
          <w:trHeight w:val="302"/>
        </w:trPr>
        <w:tc>
          <w:tcPr>
            <w:tcW w:w="8020" w:type="dxa"/>
            <w:vAlign w:val="bottom"/>
            <w:tcBorders>
              <w:top w:val="single" w:sz="8" w:color="CCEEFF"/>
            </w:tcBorders>
          </w:tcPr>
          <w:p>
            <w:pPr>
              <w:ind w:left="5580"/>
              <w:spacing w:after="0"/>
              <w:rPr>
                <w:sz w:val="20"/>
                <w:szCs w:val="20"/>
                <w:color w:val="auto"/>
              </w:rPr>
            </w:pPr>
            <w:r>
              <w:rPr>
                <w:rFonts w:ascii="Times New Roman" w:cs="Times New Roman" w:eastAsia="Times New Roman" w:hAnsi="Times New Roman"/>
                <w:sz w:val="14"/>
                <w:szCs w:val="14"/>
                <w:color w:val="auto"/>
              </w:rPr>
              <w:t>11</w:t>
            </w:r>
          </w:p>
        </w:tc>
        <w:tc>
          <w:tcPr>
            <w:tcW w:w="9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8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7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Finance expense</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presents the components of Finance expense for the three months ended March 31, 2026 and 2025 (in thousands):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6"/>
        </w:trPr>
        <w:tc>
          <w:tcPr>
            <w:tcW w:w="980" w:type="dxa"/>
            <w:vAlign w:val="bottom"/>
            <w:tcBorders>
              <w:bottom w:val="single" w:sz="8" w:color="CCEEFF"/>
            </w:tcBorders>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56"/>
        </w:trPr>
        <w:tc>
          <w:tcPr>
            <w:tcW w:w="802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Loan interest expense</w:t>
            </w:r>
          </w:p>
        </w:tc>
        <w:tc>
          <w:tcPr>
            <w:tcW w:w="98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13,777</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9,987</w:t>
            </w:r>
          </w:p>
        </w:tc>
        <w:tc>
          <w:tcPr>
            <w:tcW w:w="100" w:type="dxa"/>
            <w:vAlign w:val="bottom"/>
            <w:shd w:val="clear" w:color="auto" w:fill="CCEEFF"/>
          </w:tcPr>
          <w:p>
            <w:pPr>
              <w:spacing w:after="0"/>
              <w:rPr>
                <w:sz w:val="13"/>
                <w:szCs w:val="13"/>
                <w:color w:val="auto"/>
              </w:rPr>
            </w:pP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Lease interest expense</w:t>
            </w:r>
          </w:p>
        </w:tc>
        <w:tc>
          <w:tcPr>
            <w:tcW w:w="9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w:t>
            </w:r>
          </w:p>
        </w:tc>
        <w:tc>
          <w:tcPr>
            <w:tcW w:w="98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253</w:t>
            </w:r>
          </w:p>
        </w:tc>
      </w:tr>
      <w:tr>
        <w:trPr>
          <w:trHeight w:val="166"/>
        </w:trPr>
        <w:tc>
          <w:tcPr>
            <w:tcW w:w="8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expense</w:t>
            </w:r>
          </w:p>
        </w:tc>
        <w:tc>
          <w:tcPr>
            <w:tcW w:w="98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14,088</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98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 interest expense for the three months ended March 31, 2026 and 2025, include expenses related to borrowing arrangements detailed in the annual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 benefit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components of Income tax benefit (expense) for the three months ended March 31, 2026 and 2025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74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Current income tax expense</w:t>
            </w:r>
          </w:p>
        </w:tc>
        <w:tc>
          <w:tcPr>
            <w:tcW w:w="428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355</w:t>
            </w: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4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(129)</w:t>
            </w:r>
          </w:p>
        </w:tc>
        <w:tc>
          <w:tcPr>
            <w:tcW w:w="106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66"/>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 (benefit) expense</w:t>
            </w:r>
          </w:p>
        </w:tc>
        <w:tc>
          <w:tcPr>
            <w:tcW w:w="428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auto"/>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4280" w:type="dxa"/>
            <w:vAlign w:val="bottom"/>
            <w:vMerge w:val="restart"/>
          </w:tcPr>
          <w:p>
            <w:pPr>
              <w:jc w:val="right"/>
              <w:ind w:right="2231"/>
              <w:spacing w:after="0"/>
              <w:rPr>
                <w:sz w:val="20"/>
                <w:szCs w:val="20"/>
                <w:color w:val="auto"/>
              </w:rPr>
            </w:pPr>
            <w:r>
              <w:rPr>
                <w:rFonts w:ascii="Times New Roman" w:cs="Times New Roman" w:eastAsia="Times New Roman" w:hAnsi="Times New Roman"/>
                <w:sz w:val="14"/>
                <w:szCs w:val="14"/>
                <w:color w:val="auto"/>
              </w:rPr>
              <w:t>12</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74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740" w:type="dxa"/>
            <w:vAlign w:val="bottom"/>
            <w:tcBorders>
              <w:bottom w:val="single" w:sz="8" w:color="auto"/>
            </w:tcBorders>
          </w:tcPr>
          <w:p>
            <w:pPr>
              <w:spacing w:after="0"/>
              <w:rPr>
                <w:sz w:val="7"/>
                <w:szCs w:val="7"/>
                <w:color w:val="auto"/>
              </w:rPr>
            </w:pPr>
          </w:p>
        </w:tc>
        <w:tc>
          <w:tcPr>
            <w:tcW w:w="4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Digital assets held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the breakdown of Digital assets held - financial assets by venue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4360" w:type="dxa"/>
            <w:vAlign w:val="bottom"/>
            <w:tcBorders>
              <w:bottom w:val="single" w:sz="8" w:color="CCEEFF"/>
            </w:tcBorders>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Digital financial assets held on the Exchange wallets</w:t>
            </w:r>
          </w:p>
        </w:tc>
        <w:tc>
          <w:tcPr>
            <w:tcW w:w="37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135,230</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84,993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Digital financial assets held on the non-Exchange wallets</w:t>
            </w: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728,076</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952,922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Digital assets held - financial assets</w:t>
            </w:r>
          </w:p>
        </w:tc>
        <w:tc>
          <w:tcPr>
            <w:tcW w:w="37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863,306</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1,037,915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700" w:type="dxa"/>
            <w:vAlign w:val="bottom"/>
            <w:vMerge w:val="restart"/>
          </w:tcPr>
          <w:p>
            <w:pPr>
              <w:jc w:val="right"/>
              <w:ind w:right="2271"/>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43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436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Digital assets held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(continued)</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table below presents the implied units and carrying amount of digital assets, denominated in units and US dollars, for Digital assets held - inventories, Digital assets - intangible assets, and Digital assets - financial assets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Pr>
          <w:p>
            <w:pPr>
              <w:spacing w:after="0"/>
              <w:rPr>
                <w:sz w:val="15"/>
                <w:szCs w:val="15"/>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2"/>
        </w:trPr>
        <w:tc>
          <w:tcPr>
            <w:tcW w:w="598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6"/>
        </w:trPr>
        <w:tc>
          <w:tcPr>
            <w:tcW w:w="598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240" w:type="dxa"/>
            <w:vAlign w:val="bottom"/>
          </w:tcPr>
          <w:p>
            <w:pPr>
              <w:spacing w:after="0"/>
              <w:rPr>
                <w:sz w:val="14"/>
                <w:szCs w:val="14"/>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4"/>
                <w:szCs w:val="14"/>
                <w:color w:val="auto"/>
              </w:rPr>
            </w:pPr>
          </w:p>
        </w:tc>
        <w:tc>
          <w:tcPr>
            <w:tcW w:w="9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156"/>
        </w:trPr>
        <w:tc>
          <w:tcPr>
            <w:tcW w:w="598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BTC</w:t>
            </w:r>
            <w:r>
              <w:rPr>
                <w:rFonts w:ascii="Times New Roman" w:cs="Times New Roman" w:eastAsia="Times New Roman" w:hAnsi="Times New Roman"/>
                <w:sz w:val="11"/>
                <w:szCs w:val="11"/>
                <w:color w:val="auto"/>
              </w:rPr>
              <w:t>(i)</w:t>
            </w:r>
          </w:p>
        </w:tc>
        <w:tc>
          <w:tcPr>
            <w:tcW w:w="11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19.83</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1,320,524</w:t>
            </w:r>
          </w:p>
        </w:tc>
        <w:tc>
          <w:tcPr>
            <w:tcW w:w="2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ind w:left="820"/>
              <w:spacing w:after="0" w:line="156" w:lineRule="exact"/>
              <w:rPr>
                <w:sz w:val="20"/>
                <w:szCs w:val="20"/>
                <w:color w:val="auto"/>
              </w:rPr>
            </w:pPr>
            <w:r>
              <w:rPr>
                <w:rFonts w:ascii="Times New Roman" w:cs="Times New Roman" w:eastAsia="Times New Roman" w:hAnsi="Times New Roman"/>
                <w:sz w:val="14"/>
                <w:szCs w:val="14"/>
                <w:color w:val="auto"/>
                <w:w w:val="88"/>
              </w:rPr>
              <w:t>18.03</w:t>
            </w: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1,598,225</w:t>
            </w:r>
          </w:p>
        </w:tc>
        <w:tc>
          <w:tcPr>
            <w:tcW w:w="100" w:type="dxa"/>
            <w:vAlign w:val="bottom"/>
            <w:tcBorders>
              <w:top w:val="single" w:sz="8" w:color="CCEEFF"/>
            </w:tcBorders>
            <w:shd w:val="clear" w:color="auto" w:fill="CCEEFF"/>
          </w:tcPr>
          <w:p>
            <w:pPr>
              <w:spacing w:after="0"/>
              <w:rPr>
                <w:sz w:val="13"/>
                <w:szCs w:val="13"/>
                <w:color w:val="auto"/>
              </w:rPr>
            </w:pPr>
          </w:p>
        </w:tc>
      </w:tr>
      <w:tr>
        <w:trPr>
          <w:trHeight w:val="165"/>
        </w:trPr>
        <w:tc>
          <w:tcPr>
            <w:tcW w:w="5980" w:type="dxa"/>
            <w:vAlign w:val="bottom"/>
          </w:tcPr>
          <w:p>
            <w:pPr>
              <w:ind w:left="120"/>
              <w:spacing w:after="0" w:line="165" w:lineRule="exact"/>
              <w:rPr>
                <w:sz w:val="20"/>
                <w:szCs w:val="20"/>
                <w:color w:val="auto"/>
              </w:rPr>
            </w:pPr>
            <w:r>
              <w:rPr>
                <w:rFonts w:ascii="Times New Roman" w:cs="Times New Roman" w:eastAsia="Times New Roman" w:hAnsi="Times New Roman"/>
                <w:sz w:val="12"/>
                <w:szCs w:val="12"/>
                <w:color w:val="auto"/>
              </w:rPr>
              <w:t>ETH</w:t>
            </w:r>
            <w:r>
              <w:rPr>
                <w:rFonts w:ascii="Times New Roman" w:cs="Times New Roman" w:eastAsia="Times New Roman" w:hAnsi="Times New Roman"/>
                <w:sz w:val="19"/>
                <w:szCs w:val="19"/>
                <w:color w:val="auto"/>
                <w:vertAlign w:val="superscript"/>
              </w:rPr>
              <w:t>(i)</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22,127</w:t>
            </w:r>
          </w:p>
        </w:tc>
        <w:tc>
          <w:tcPr>
            <w:tcW w:w="13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12.52</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37,410</w:t>
            </w:r>
          </w:p>
        </w:tc>
      </w:tr>
      <w:tr>
        <w:trPr>
          <w:trHeight w:val="165"/>
        </w:trPr>
        <w:tc>
          <w:tcPr>
            <w:tcW w:w="598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2"/>
                <w:szCs w:val="12"/>
                <w:color w:val="auto"/>
              </w:rPr>
              <w:t>Stablecoins</w:t>
            </w:r>
            <w:r>
              <w:rPr>
                <w:rFonts w:ascii="Times New Roman" w:cs="Times New Roman" w:eastAsia="Times New Roman" w:hAnsi="Times New Roman"/>
                <w:sz w:val="19"/>
                <w:szCs w:val="19"/>
                <w:color w:val="auto"/>
                <w:vertAlign w:val="superscript"/>
              </w:rPr>
              <w:t>(ii)</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689,791</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1,056,666</w:t>
            </w:r>
          </w:p>
        </w:tc>
        <w:tc>
          <w:tcPr>
            <w:tcW w:w="100" w:type="dxa"/>
            <w:vAlign w:val="bottom"/>
            <w:shd w:val="clear" w:color="auto" w:fill="CCEEFF"/>
          </w:tcPr>
          <w:p>
            <w:pPr>
              <w:spacing w:after="0"/>
              <w:rPr>
                <w:sz w:val="14"/>
                <w:szCs w:val="14"/>
                <w:color w:val="auto"/>
              </w:rPr>
            </w:pPr>
          </w:p>
        </w:tc>
      </w:tr>
      <w:tr>
        <w:trPr>
          <w:trHeight w:val="176"/>
        </w:trPr>
        <w:tc>
          <w:tcPr>
            <w:tcW w:w="5980" w:type="dxa"/>
            <w:vAlign w:val="bottom"/>
          </w:tcPr>
          <w:p>
            <w:pPr>
              <w:ind w:left="120"/>
              <w:spacing w:after="0" w:line="176" w:lineRule="exact"/>
              <w:rPr>
                <w:sz w:val="20"/>
                <w:szCs w:val="20"/>
                <w:color w:val="auto"/>
              </w:rPr>
            </w:pPr>
            <w:r>
              <w:rPr>
                <w:rFonts w:ascii="Times New Roman" w:cs="Times New Roman" w:eastAsia="Times New Roman" w:hAnsi="Times New Roman"/>
                <w:sz w:val="13"/>
                <w:szCs w:val="13"/>
                <w:color w:val="auto"/>
              </w:rPr>
              <w:t>Others</w:t>
            </w:r>
            <w:r>
              <w:rPr>
                <w:rFonts w:ascii="Times New Roman" w:cs="Times New Roman" w:eastAsia="Times New Roman" w:hAnsi="Times New Roman"/>
                <w:sz w:val="20"/>
                <w:szCs w:val="20"/>
                <w:color w:val="auto"/>
                <w:vertAlign w:val="superscript"/>
              </w:rPr>
              <w:t>(iii)</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272,173</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88,863</w:t>
            </w:r>
          </w:p>
        </w:tc>
      </w:tr>
      <w:tr>
        <w:trPr>
          <w:trHeight w:val="16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Digital assets held - inventories, intangible assets, and financial assets</w:t>
            </w:r>
          </w:p>
        </w:tc>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2,304,615</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2,781,164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260" w:hanging="257"/>
        <w:spacing w:after="0" w:line="208" w:lineRule="auto"/>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BTC and ETH balances presented include tokens that are wrapped such as cbBTC (11,748 units valued at $782.3 million as of March 31, 2026 and 8,177.4 units valued at $725.8 million as of December 31, 2025), wBTC (201.3 units valued at $13.4 million as of March 31, 2026, 226.8 units valued at $20.1 million as of December 31, 2025) and weETH (153.4 units valued at $0.3 million as of March 31, 2026, 160.6 units valued at $0.5 million as of December 31, 2025).</w:t>
      </w:r>
    </w:p>
    <w:p>
      <w:pPr>
        <w:spacing w:after="0" w:line="152" w:lineRule="exact"/>
        <w:rPr>
          <w:rFonts w:ascii="Times New Roman" w:cs="Times New Roman" w:eastAsia="Times New Roman" w:hAnsi="Times New Roman"/>
          <w:sz w:val="23"/>
          <w:szCs w:val="23"/>
          <w:color w:val="auto"/>
          <w:vertAlign w:val="superscript"/>
        </w:rPr>
      </w:pPr>
    </w:p>
    <w:p>
      <w:pPr>
        <w:jc w:val="both"/>
        <w:ind w:left="260" w:hanging="257"/>
        <w:spacing w:after="0" w:line="208" w:lineRule="auto"/>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Stablecoins are a digital asset intended to maintain a stable value by tracking a reference asset, such as USD, typically on a one-to-one basis. As of March 31, 2026 individual assets that comprise greater than 5% of the balance include USDC ($310.3 million), USDG ($159.0 million), and RLUSD ($31.6 million). As of December 31, 2025, individual assets that comprise greater than 5% of the balance include USDC ($464.9 million), USDG ($204.3 million), and PYUSD ($161.1 million). No other stablecoins represent greater than 5% of the total balance.</w:t>
      </w:r>
    </w:p>
    <w:p>
      <w:pPr>
        <w:spacing w:after="0" w:line="67" w:lineRule="exact"/>
        <w:rPr>
          <w:rFonts w:ascii="Times New Roman" w:cs="Times New Roman" w:eastAsia="Times New Roman" w:hAnsi="Times New Roman"/>
          <w:sz w:val="23"/>
          <w:szCs w:val="23"/>
          <w:color w:val="auto"/>
          <w:vertAlign w:val="superscript"/>
        </w:rPr>
      </w:pPr>
    </w:p>
    <w:p>
      <w:pPr>
        <w:ind w:left="260" w:hanging="257"/>
        <w:spacing w:after="0"/>
        <w:tabs>
          <w:tab w:leader="none" w:pos="26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Any digital asset that individually represents less than 5% of the digital asset balance presented is grouped together as Others.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Loan and other receivables - digital assets</w:t>
      </w:r>
    </w:p>
    <w:p>
      <w:pPr>
        <w:spacing w:after="0" w:line="17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following table presents Loan and other receivables - digital assets by type of underlying digital asset provided, denominated in units and US dollars, as of March 31, 2026 and December 31, 2025 (in thousands). Amounts totaling less than 5% of the outstanding balance are aggregated in the Others line: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360" w:type="dxa"/>
            <w:vAlign w:val="bottom"/>
            <w:gridSpan w:val="5"/>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4"/>
                <w:szCs w:val="14"/>
                <w:color w:val="auto"/>
              </w:rPr>
            </w:pPr>
          </w:p>
        </w:tc>
        <w:tc>
          <w:tcPr>
            <w:tcW w:w="138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60" w:type="dxa"/>
            <w:vAlign w:val="bottom"/>
            <w:tcBorders>
              <w:top w:val="single" w:sz="8" w:color="CCEEFF"/>
            </w:tcBorders>
            <w:shd w:val="clear" w:color="auto" w:fill="CCEEFF"/>
          </w:tcPr>
          <w:p>
            <w:pPr>
              <w:ind w:left="120"/>
              <w:spacing w:after="0" w:line="156" w:lineRule="exact"/>
              <w:rPr>
                <w:sz w:val="20"/>
                <w:szCs w:val="20"/>
                <w:color w:val="auto"/>
              </w:rPr>
            </w:pPr>
            <w:r>
              <w:rPr>
                <w:rFonts w:ascii="Times New Roman" w:cs="Times New Roman" w:eastAsia="Times New Roman" w:hAnsi="Times New Roman"/>
                <w:sz w:val="14"/>
                <w:szCs w:val="14"/>
                <w:color w:val="auto"/>
              </w:rPr>
              <w:t>BTC</w:t>
            </w:r>
          </w:p>
        </w:tc>
        <w:tc>
          <w:tcPr>
            <w:tcW w:w="7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105,626</w:t>
            </w:r>
          </w:p>
        </w:tc>
        <w:tc>
          <w:tcPr>
            <w:tcW w:w="2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1.90</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168,630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ETH</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5,616</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1.96</w:t>
            </w: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5,843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USDC</w:t>
            </w: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150,933</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132,775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114,292</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Others</w:t>
            </w:r>
          </w:p>
        </w:tc>
        <w:tc>
          <w:tcPr>
            <w:tcW w:w="7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11,450</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9,128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Digital assets - credit line facility and other lending arrangements</w:t>
            </w: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387,917</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316,376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BTC</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0.01</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871</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792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ETH</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2,601</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0.57</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1,699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USDC</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2,812</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12,008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SOL</w:t>
            </w: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1,482</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Others</w:t>
            </w: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Digital assets - margin lending services</w:t>
            </w:r>
          </w:p>
        </w:tc>
        <w:tc>
          <w:tcPr>
            <w:tcW w:w="76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7,767</w:t>
            </w:r>
          </w:p>
        </w:tc>
        <w:tc>
          <w:tcPr>
            <w:tcW w:w="2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14,780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BTC</w:t>
            </w:r>
          </w:p>
        </w:tc>
        <w:tc>
          <w:tcPr>
            <w:tcW w:w="7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115,325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5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Digital assets - pledged as collateral</w:t>
            </w: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115,325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BTC</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1.60</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106,497</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3.21</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284,747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ETH</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8,217</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2.53</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7,542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USDC</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153,745</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144,783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USD</w:t>
            </w:r>
          </w:p>
        </w:tc>
        <w:tc>
          <w:tcPr>
            <w:tcW w:w="7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114,292</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SOL</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1,482</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4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Others</w:t>
            </w:r>
          </w:p>
        </w:tc>
        <w:tc>
          <w:tcPr>
            <w:tcW w:w="7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11,451</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9,409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80" w:type="dxa"/>
            <w:vAlign w:val="bottom"/>
          </w:tcPr>
          <w:p>
            <w:pPr>
              <w:spacing w:after="0"/>
              <w:rPr>
                <w:sz w:val="14"/>
                <w:szCs w:val="14"/>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Loan and other receivables - digital assets</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395,684</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20" w:type="dxa"/>
            <w:vAlign w:val="bottom"/>
            <w:gridSpan w:val="2"/>
            <w:vMerge w:val="restart"/>
          </w:tcPr>
          <w:p>
            <w:pPr>
              <w:jc w:val="right"/>
              <w:ind w:right="1071"/>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3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9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8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6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14 Investments in financial assets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presents the fair value of Investments in financial assets by investment type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74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56"/>
        </w:trPr>
        <w:tc>
          <w:tcPr>
            <w:tcW w:w="740" w:type="dxa"/>
            <w:vAlign w:val="bottom"/>
          </w:tcPr>
          <w:p>
            <w:pPr>
              <w:spacing w:after="0"/>
              <w:rPr>
                <w:sz w:val="13"/>
                <w:szCs w:val="13"/>
                <w:color w:val="auto"/>
              </w:rPr>
            </w:pPr>
          </w:p>
        </w:tc>
        <w:tc>
          <w:tcPr>
            <w:tcW w:w="6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BTC funds</w:t>
            </w:r>
          </w:p>
        </w:tc>
        <w:tc>
          <w:tcPr>
            <w:tcW w:w="240" w:type="dxa"/>
            <w:vAlign w:val="bottom"/>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144,102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186,067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5"/>
        </w:trPr>
        <w:tc>
          <w:tcPr>
            <w:tcW w:w="74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Grayscale CoinDesk Crypto 5 ETF</w:t>
            </w:r>
          </w:p>
        </w:tc>
        <w:tc>
          <w:tcPr>
            <w:tcW w:w="24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70,341</w:t>
            </w:r>
          </w:p>
        </w:tc>
        <w:tc>
          <w:tcPr>
            <w:tcW w:w="18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93,184</w:t>
            </w:r>
          </w:p>
        </w:tc>
      </w:tr>
      <w:tr>
        <w:trPr>
          <w:trHeight w:val="165"/>
        </w:trPr>
        <w:tc>
          <w:tcPr>
            <w:tcW w:w="740" w:type="dxa"/>
            <w:vAlign w:val="bottom"/>
          </w:tcPr>
          <w:p>
            <w:pPr>
              <w:spacing w:after="0"/>
              <w:rPr>
                <w:sz w:val="14"/>
                <w:szCs w:val="14"/>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CoinDesk 20</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5,461</w:t>
            </w:r>
          </w:p>
        </w:tc>
        <w:tc>
          <w:tcPr>
            <w:tcW w:w="18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87,802</w:t>
            </w:r>
          </w:p>
        </w:tc>
      </w:tr>
      <w:tr>
        <w:trPr>
          <w:trHeight w:val="165"/>
        </w:trPr>
        <w:tc>
          <w:tcPr>
            <w:tcW w:w="74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Investments in financial assets</w:t>
            </w:r>
          </w:p>
        </w:tc>
        <w:tc>
          <w:tcPr>
            <w:tcW w:w="24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29,639</w:t>
            </w:r>
          </w:p>
        </w:tc>
        <w:tc>
          <w:tcPr>
            <w:tcW w:w="180" w:type="dxa"/>
            <w:vAlign w:val="bottom"/>
          </w:tcPr>
          <w:p>
            <w:pPr>
              <w:spacing w:after="0"/>
              <w:rPr>
                <w:sz w:val="14"/>
                <w:szCs w:val="14"/>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12,408</w:t>
            </w:r>
          </w:p>
        </w:tc>
      </w:tr>
      <w:tr>
        <w:trPr>
          <w:trHeight w:val="165"/>
        </w:trPr>
        <w:tc>
          <w:tcPr>
            <w:tcW w:w="740" w:type="dxa"/>
            <w:vAlign w:val="bottom"/>
          </w:tcPr>
          <w:p>
            <w:pPr>
              <w:spacing w:after="0"/>
              <w:rPr>
                <w:sz w:val="14"/>
                <w:szCs w:val="14"/>
                <w:color w:val="auto"/>
              </w:rPr>
            </w:pPr>
          </w:p>
        </w:tc>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digital assets funds</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17,097</w:t>
            </w:r>
          </w:p>
        </w:tc>
        <w:tc>
          <w:tcPr>
            <w:tcW w:w="180" w:type="dxa"/>
            <w:vAlign w:val="bottom"/>
            <w:shd w:val="clear" w:color="auto" w:fill="CCEEFF"/>
          </w:tcPr>
          <w:p>
            <w:pPr>
              <w:spacing w:after="0"/>
              <w:rPr>
                <w:sz w:val="14"/>
                <w:szCs w:val="14"/>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24,683</w:t>
            </w:r>
          </w:p>
        </w:tc>
      </w:tr>
      <w:tr>
        <w:trPr>
          <w:trHeight w:val="186"/>
        </w:trPr>
        <w:tc>
          <w:tcPr>
            <w:tcW w:w="740" w:type="dxa"/>
            <w:vAlign w:val="bottom"/>
          </w:tcPr>
          <w:p>
            <w:pPr>
              <w:spacing w:after="0"/>
              <w:rPr>
                <w:sz w:val="16"/>
                <w:szCs w:val="16"/>
                <w:color w:val="auto"/>
              </w:rPr>
            </w:pPr>
          </w:p>
        </w:tc>
        <w:tc>
          <w:tcPr>
            <w:tcW w:w="6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Investments in financial assets</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266,640</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404,144</w:t>
            </w:r>
          </w:p>
        </w:tc>
        <w:tc>
          <w:tcPr>
            <w:tcW w:w="8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three months ended March 31, 2026, the Group held digital assets exchange-traded funds and private funds valued at $237.0 million (December 31, 2025: $379.4 million) as well as equity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valued at $29.6 million (December 31, 2025: $24.7 million).</w:t>
      </w:r>
    </w:p>
    <w:p>
      <w:pPr>
        <w:spacing w:after="0" w:line="15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760"/>
          </w:cols>
          <w:pgMar w:left="300" w:top="113" w:right="8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6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15 Other assets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presents the components of non-current and current Other assets (in thousands):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3"/>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2"/>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56"/>
        </w:trPr>
        <w:tc>
          <w:tcPr>
            <w:tcW w:w="740" w:type="dxa"/>
            <w:vAlign w:val="bottom"/>
          </w:tcPr>
          <w:p>
            <w:pPr>
              <w:spacing w:after="0"/>
              <w:rPr>
                <w:sz w:val="13"/>
                <w:szCs w:val="13"/>
                <w:color w:val="auto"/>
              </w:rPr>
            </w:pPr>
          </w:p>
        </w:tc>
        <w:tc>
          <w:tcPr>
            <w:tcW w:w="62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Deposits</w:t>
            </w:r>
          </w:p>
        </w:tc>
        <w:tc>
          <w:tcPr>
            <w:tcW w:w="1120" w:type="dxa"/>
            <w:vAlign w:val="bottom"/>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1,180</w:t>
            </w:r>
          </w:p>
        </w:tc>
      </w:tr>
      <w:tr>
        <w:trPr>
          <w:trHeight w:val="165"/>
        </w:trPr>
        <w:tc>
          <w:tcPr>
            <w:tcW w:w="740" w:type="dxa"/>
            <w:vAlign w:val="bottom"/>
          </w:tcPr>
          <w:p>
            <w:pPr>
              <w:spacing w:after="0"/>
              <w:rPr>
                <w:sz w:val="14"/>
                <w:szCs w:val="14"/>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323</w:t>
            </w: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 receivables</w:t>
            </w:r>
          </w:p>
        </w:tc>
        <w:tc>
          <w:tcPr>
            <w:tcW w:w="1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739</w:t>
            </w:r>
          </w:p>
        </w:tc>
      </w:tr>
      <w:tr>
        <w:trPr>
          <w:trHeight w:val="176"/>
        </w:trPr>
        <w:tc>
          <w:tcPr>
            <w:tcW w:w="74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Prepayments</w:t>
            </w:r>
          </w:p>
        </w:tc>
        <w:tc>
          <w:tcPr>
            <w:tcW w:w="1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16,252</w:t>
            </w: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trading rewards program costs</w:t>
            </w:r>
          </w:p>
        </w:tc>
        <w:tc>
          <w:tcPr>
            <w:tcW w:w="1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2,817</w:t>
            </w:r>
          </w:p>
        </w:tc>
      </w:tr>
      <w:tr>
        <w:trPr>
          <w:trHeight w:val="205"/>
        </w:trPr>
        <w:tc>
          <w:tcPr>
            <w:tcW w:w="740" w:type="dxa"/>
            <w:vAlign w:val="bottom"/>
          </w:tcPr>
          <w:p>
            <w:pPr>
              <w:spacing w:after="0"/>
              <w:rPr>
                <w:sz w:val="17"/>
                <w:szCs w:val="17"/>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assets (non-current)</w:t>
            </w:r>
          </w:p>
        </w:tc>
        <w:tc>
          <w:tcPr>
            <w:tcW w:w="1120" w:type="dxa"/>
            <w:vAlign w:val="bottom"/>
            <w:shd w:val="clear" w:color="auto" w:fill="CCEEFF"/>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17,662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21,311</w:t>
            </w:r>
          </w:p>
        </w:tc>
      </w:tr>
      <w:tr>
        <w:trPr>
          <w:trHeight w:val="136"/>
        </w:trPr>
        <w:tc>
          <w:tcPr>
            <w:tcW w:w="740" w:type="dxa"/>
            <w:vAlign w:val="bottom"/>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600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65"/>
        </w:trPr>
        <w:tc>
          <w:tcPr>
            <w:tcW w:w="740" w:type="dxa"/>
            <w:vAlign w:val="bottom"/>
          </w:tcPr>
          <w:p>
            <w:pPr>
              <w:spacing w:after="0"/>
              <w:rPr>
                <w:sz w:val="14"/>
                <w:szCs w:val="14"/>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120" w:type="dxa"/>
            <w:vAlign w:val="bottom"/>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21,450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24,625</w:t>
            </w:r>
          </w:p>
        </w:tc>
      </w:tr>
      <w:tr>
        <w:trPr>
          <w:trHeight w:val="165"/>
        </w:trPr>
        <w:tc>
          <w:tcPr>
            <w:tcW w:w="740" w:type="dxa"/>
            <w:vAlign w:val="bottom"/>
          </w:tcPr>
          <w:p>
            <w:pPr>
              <w:spacing w:after="0"/>
              <w:rPr>
                <w:sz w:val="14"/>
                <w:szCs w:val="14"/>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receivables</w:t>
            </w:r>
          </w:p>
        </w:tc>
        <w:tc>
          <w:tcPr>
            <w:tcW w:w="1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w:t>
            </w: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Prepayments</w:t>
            </w:r>
          </w:p>
        </w:tc>
        <w:tc>
          <w:tcPr>
            <w:tcW w:w="1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18,943</w:t>
            </w:r>
          </w:p>
        </w:tc>
      </w:tr>
      <w:tr>
        <w:trPr>
          <w:trHeight w:val="176"/>
        </w:trPr>
        <w:tc>
          <w:tcPr>
            <w:tcW w:w="74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receivables</w:t>
            </w:r>
          </w:p>
        </w:tc>
        <w:tc>
          <w:tcPr>
            <w:tcW w:w="1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3,824</w:t>
            </w: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trading rewards program costs</w:t>
            </w:r>
          </w:p>
        </w:tc>
        <w:tc>
          <w:tcPr>
            <w:tcW w:w="11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740" w:type="dxa"/>
            <w:vAlign w:val="bottom"/>
          </w:tcPr>
          <w:p>
            <w:pPr>
              <w:spacing w:after="0"/>
              <w:rPr>
                <w:sz w:val="15"/>
                <w:szCs w:val="15"/>
                <w:color w:val="auto"/>
              </w:rPr>
            </w:pPr>
          </w:p>
        </w:tc>
        <w:tc>
          <w:tcPr>
            <w:tcW w:w="62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Total Other assets (current)</w:t>
            </w:r>
          </w:p>
        </w:tc>
        <w:tc>
          <w:tcPr>
            <w:tcW w:w="1120" w:type="dxa"/>
            <w:vAlign w:val="bottom"/>
            <w:shd w:val="clear" w:color="auto" w:fill="CCEEFF"/>
          </w:tcPr>
          <w:p>
            <w:pPr>
              <w:jc w:val="right"/>
              <w:ind w:right="9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55,945</w:t>
            </w:r>
          </w:p>
        </w:tc>
        <w:tc>
          <w:tcPr>
            <w:tcW w:w="30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47,502</w:t>
            </w:r>
          </w:p>
        </w:tc>
      </w:tr>
      <w:tr>
        <w:trPr>
          <w:trHeight w:val="20"/>
        </w:trPr>
        <w:tc>
          <w:tcPr>
            <w:tcW w:w="74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and December 31, 2025 the carrying values of current Other assets approximated their fair values.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Restricted cash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March 31, 2026, current Restricted cash primarily related to deposits for insurance policies of $17.0 million (December 31, 2025: $16.8 million) and non-current Restricted cash primarily related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guarantees for lease agreements of $5.8 million (December 31, 2025: $5.7 million).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13" w:right="3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6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17 Cash and cash equivalents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6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presents the components of Cash and cash equivalents (in thousands):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740" w:type="dxa"/>
            <w:vAlign w:val="bottom"/>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60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56"/>
        </w:trPr>
        <w:tc>
          <w:tcPr>
            <w:tcW w:w="740" w:type="dxa"/>
            <w:vAlign w:val="bottom"/>
          </w:tcPr>
          <w:p>
            <w:pPr>
              <w:spacing w:after="0"/>
              <w:rPr>
                <w:sz w:val="13"/>
                <w:szCs w:val="13"/>
                <w:color w:val="auto"/>
              </w:rPr>
            </w:pPr>
          </w:p>
        </w:tc>
        <w:tc>
          <w:tcPr>
            <w:tcW w:w="62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Cash at banks</w:t>
            </w:r>
          </w:p>
        </w:tc>
        <w:tc>
          <w:tcPr>
            <w:tcW w:w="1120" w:type="dxa"/>
            <w:vAlign w:val="bottom"/>
            <w:shd w:val="clear" w:color="auto" w:fill="CCEEFF"/>
          </w:tcPr>
          <w:p>
            <w:pPr>
              <w:jc w:val="right"/>
              <w:ind w:right="9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70,865</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80,159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5"/>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on the Exchange at banks</w:t>
            </w:r>
          </w:p>
        </w:tc>
        <w:tc>
          <w:tcPr>
            <w:tcW w:w="11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5,178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7,626</w:t>
            </w:r>
          </w:p>
        </w:tc>
        <w:tc>
          <w:tcPr>
            <w:tcW w:w="80" w:type="dxa"/>
            <w:vAlign w:val="bottom"/>
          </w:tcPr>
          <w:p>
            <w:pPr>
              <w:spacing w:after="0"/>
              <w:rPr>
                <w:sz w:val="14"/>
                <w:szCs w:val="14"/>
                <w:color w:val="auto"/>
              </w:rPr>
            </w:pPr>
          </w:p>
        </w:tc>
      </w:tr>
      <w:tr>
        <w:trPr>
          <w:trHeight w:val="176"/>
        </w:trPr>
        <w:tc>
          <w:tcPr>
            <w:tcW w:w="74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held in brokers</w:t>
            </w:r>
          </w:p>
        </w:tc>
        <w:tc>
          <w:tcPr>
            <w:tcW w:w="1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5"/>
                <w:szCs w:val="15"/>
                <w:color w:val="auto"/>
              </w:rPr>
            </w:pPr>
          </w:p>
        </w:tc>
      </w:tr>
      <w:tr>
        <w:trPr>
          <w:trHeight w:val="166"/>
        </w:trPr>
        <w:tc>
          <w:tcPr>
            <w:tcW w:w="740" w:type="dxa"/>
            <w:vAlign w:val="bottom"/>
          </w:tcPr>
          <w:p>
            <w:pPr>
              <w:spacing w:after="0"/>
              <w:rPr>
                <w:sz w:val="14"/>
                <w:szCs w:val="14"/>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120" w:type="dxa"/>
            <w:vAlign w:val="bottom"/>
            <w:tcBorders>
              <w:top w:val="single" w:sz="8" w:color="auto"/>
              <w:bottom w:val="single" w:sz="8" w:color="auto"/>
            </w:tcBorders>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76,052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87,892</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and December 31, 2025, the carrying values of Cash and cash equivalents approximated their fair values.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18 Other payables</w:t>
            </w: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1"/>
        </w:trPr>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table below presents the components of Other payables (in thousands):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3"/>
        </w:trPr>
        <w:tc>
          <w:tcPr>
            <w:tcW w:w="7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82"/>
        </w:trPr>
        <w:tc>
          <w:tcPr>
            <w:tcW w:w="74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56"/>
        </w:trPr>
        <w:tc>
          <w:tcPr>
            <w:tcW w:w="740" w:type="dxa"/>
            <w:vAlign w:val="bottom"/>
          </w:tcPr>
          <w:p>
            <w:pPr>
              <w:spacing w:after="0"/>
              <w:rPr>
                <w:sz w:val="13"/>
                <w:szCs w:val="13"/>
                <w:color w:val="auto"/>
              </w:rPr>
            </w:pPr>
          </w:p>
        </w:tc>
        <w:tc>
          <w:tcPr>
            <w:tcW w:w="62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Trading rewards program liability</w:t>
            </w:r>
          </w:p>
        </w:tc>
        <w:tc>
          <w:tcPr>
            <w:tcW w:w="1120" w:type="dxa"/>
            <w:vAlign w:val="bottom"/>
            <w:shd w:val="clear" w:color="auto" w:fill="CCEEFF"/>
          </w:tcPr>
          <w:p>
            <w:pPr>
              <w:jc w:val="right"/>
              <w:ind w:right="9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3,000</w:t>
            </w:r>
          </w:p>
        </w:tc>
      </w:tr>
      <w:tr>
        <w:trPr>
          <w:trHeight w:val="165"/>
        </w:trPr>
        <w:tc>
          <w:tcPr>
            <w:tcW w:w="74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payables (non-current)</w:t>
            </w:r>
          </w:p>
        </w:tc>
        <w:tc>
          <w:tcPr>
            <w:tcW w:w="1120" w:type="dxa"/>
            <w:vAlign w:val="bottom"/>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3,000</w:t>
            </w:r>
          </w:p>
        </w:tc>
      </w:tr>
      <w:tr>
        <w:trPr>
          <w:trHeight w:val="165"/>
        </w:trPr>
        <w:tc>
          <w:tcPr>
            <w:tcW w:w="740" w:type="dxa"/>
            <w:vAlign w:val="bottom"/>
          </w:tcPr>
          <w:p>
            <w:pPr>
              <w:spacing w:after="0"/>
              <w:rPr>
                <w:sz w:val="14"/>
                <w:szCs w:val="14"/>
                <w:color w:val="auto"/>
              </w:rPr>
            </w:pPr>
          </w:p>
        </w:tc>
        <w:tc>
          <w:tcPr>
            <w:tcW w:w="6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740" w:type="dxa"/>
            <w:vAlign w:val="bottom"/>
          </w:tcPr>
          <w:p>
            <w:pPr>
              <w:spacing w:after="0"/>
              <w:rPr>
                <w:sz w:val="14"/>
                <w:szCs w:val="14"/>
                <w:color w:val="auto"/>
              </w:rPr>
            </w:pPr>
          </w:p>
        </w:tc>
        <w:tc>
          <w:tcPr>
            <w:tcW w:w="6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120" w:type="dxa"/>
            <w:vAlign w:val="bottom"/>
          </w:tcPr>
          <w:p>
            <w:pPr>
              <w:jc w:val="right"/>
              <w:ind w:right="971"/>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20,363</w:t>
            </w:r>
          </w:p>
        </w:tc>
      </w:tr>
      <w:tr>
        <w:trPr>
          <w:trHeight w:val="165"/>
        </w:trPr>
        <w:tc>
          <w:tcPr>
            <w:tcW w:w="740" w:type="dxa"/>
            <w:vAlign w:val="bottom"/>
          </w:tcPr>
          <w:p>
            <w:pPr>
              <w:spacing w:after="0"/>
              <w:rPr>
                <w:sz w:val="14"/>
                <w:szCs w:val="14"/>
                <w:color w:val="auto"/>
              </w:rPr>
            </w:pPr>
          </w:p>
        </w:tc>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10,569</w:t>
            </w:r>
          </w:p>
        </w:tc>
      </w:tr>
      <w:tr>
        <w:trPr>
          <w:trHeight w:val="165"/>
        </w:trPr>
        <w:tc>
          <w:tcPr>
            <w:tcW w:w="740" w:type="dxa"/>
            <w:vAlign w:val="bottom"/>
          </w:tcPr>
          <w:p>
            <w:pPr>
              <w:spacing w:after="0"/>
              <w:rPr>
                <w:sz w:val="14"/>
                <w:szCs w:val="14"/>
                <w:color w:val="auto"/>
              </w:rPr>
            </w:pPr>
          </w:p>
        </w:tc>
        <w:tc>
          <w:tcPr>
            <w:tcW w:w="6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income</w:t>
            </w:r>
          </w:p>
        </w:tc>
        <w:tc>
          <w:tcPr>
            <w:tcW w:w="11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10,557</w:t>
            </w:r>
          </w:p>
        </w:tc>
      </w:tr>
      <w:tr>
        <w:trPr>
          <w:trHeight w:val="165"/>
        </w:trPr>
        <w:tc>
          <w:tcPr>
            <w:tcW w:w="740" w:type="dxa"/>
            <w:vAlign w:val="bottom"/>
          </w:tcPr>
          <w:p>
            <w:pPr>
              <w:spacing w:after="0"/>
              <w:rPr>
                <w:sz w:val="14"/>
                <w:szCs w:val="14"/>
                <w:color w:val="auto"/>
              </w:rPr>
            </w:pPr>
          </w:p>
        </w:tc>
        <w:tc>
          <w:tcPr>
            <w:tcW w:w="62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2"/>
                <w:szCs w:val="12"/>
                <w:color w:val="auto"/>
              </w:rPr>
              <w:t>Loan interest payable to the related party</w:t>
            </w:r>
            <w:r>
              <w:rPr>
                <w:rFonts w:ascii="Times New Roman" w:cs="Times New Roman" w:eastAsia="Times New Roman" w:hAnsi="Times New Roman"/>
                <w:sz w:val="19"/>
                <w:szCs w:val="19"/>
                <w:color w:val="auto"/>
                <w:vertAlign w:val="superscript"/>
              </w:rPr>
              <w:t>(i)</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8,764</w:t>
            </w:r>
          </w:p>
        </w:tc>
      </w:tr>
      <w:tr>
        <w:trPr>
          <w:trHeight w:val="176"/>
        </w:trPr>
        <w:tc>
          <w:tcPr>
            <w:tcW w:w="740" w:type="dxa"/>
            <w:vAlign w:val="bottom"/>
          </w:tcPr>
          <w:p>
            <w:pPr>
              <w:spacing w:after="0"/>
              <w:rPr>
                <w:sz w:val="15"/>
                <w:szCs w:val="15"/>
                <w:color w:val="auto"/>
              </w:rPr>
            </w:pPr>
          </w:p>
        </w:tc>
        <w:tc>
          <w:tcPr>
            <w:tcW w:w="6240" w:type="dxa"/>
            <w:vAlign w:val="bottom"/>
          </w:tcPr>
          <w:p>
            <w:pPr>
              <w:ind w:left="140"/>
              <w:spacing w:after="0" w:line="176" w:lineRule="exact"/>
              <w:rPr>
                <w:sz w:val="20"/>
                <w:szCs w:val="20"/>
                <w:color w:val="auto"/>
              </w:rPr>
            </w:pPr>
            <w:r>
              <w:rPr>
                <w:rFonts w:ascii="Times New Roman" w:cs="Times New Roman" w:eastAsia="Times New Roman" w:hAnsi="Times New Roman"/>
                <w:sz w:val="13"/>
                <w:szCs w:val="13"/>
                <w:color w:val="auto"/>
              </w:rPr>
              <w:t>Amounts due to related parties</w:t>
            </w:r>
            <w:r>
              <w:rPr>
                <w:rFonts w:ascii="Times New Roman" w:cs="Times New Roman" w:eastAsia="Times New Roman" w:hAnsi="Times New Roman"/>
                <w:sz w:val="20"/>
                <w:szCs w:val="20"/>
                <w:color w:val="auto"/>
                <w:vertAlign w:val="superscript"/>
              </w:rPr>
              <w:t>(i)</w:t>
            </w:r>
          </w:p>
        </w:tc>
        <w:tc>
          <w:tcPr>
            <w:tcW w:w="1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r>
      <w:tr>
        <w:trPr>
          <w:trHeight w:val="165"/>
        </w:trPr>
        <w:tc>
          <w:tcPr>
            <w:tcW w:w="740" w:type="dxa"/>
            <w:vAlign w:val="bottom"/>
          </w:tcPr>
          <w:p>
            <w:pPr>
              <w:spacing w:after="0"/>
              <w:rPr>
                <w:sz w:val="14"/>
                <w:szCs w:val="14"/>
                <w:color w:val="auto"/>
              </w:rPr>
            </w:pPr>
          </w:p>
        </w:tc>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payables</w:t>
            </w:r>
          </w:p>
        </w:tc>
        <w:tc>
          <w:tcPr>
            <w:tcW w:w="11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2,968</w:t>
            </w:r>
          </w:p>
        </w:tc>
      </w:tr>
      <w:tr>
        <w:trPr>
          <w:trHeight w:val="20"/>
        </w:trPr>
        <w:tc>
          <w:tcPr>
            <w:tcW w:w="740" w:type="dxa"/>
            <w:vAlign w:val="bottom"/>
          </w:tcPr>
          <w:p>
            <w:pPr>
              <w:spacing w:after="0" w:line="20" w:lineRule="exact"/>
              <w:rPr>
                <w:sz w:val="1"/>
                <w:szCs w:val="1"/>
                <w:color w:val="auto"/>
              </w:rPr>
            </w:pPr>
          </w:p>
        </w:tc>
        <w:tc>
          <w:tcPr>
            <w:tcW w:w="6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56"/>
        </w:trPr>
        <w:tc>
          <w:tcPr>
            <w:tcW w:w="740" w:type="dxa"/>
            <w:vAlign w:val="bottom"/>
          </w:tcPr>
          <w:p>
            <w:pPr>
              <w:spacing w:after="0"/>
              <w:rPr>
                <w:sz w:val="13"/>
                <w:szCs w:val="13"/>
                <w:color w:val="auto"/>
              </w:rPr>
            </w:pPr>
          </w:p>
        </w:tc>
        <w:tc>
          <w:tcPr>
            <w:tcW w:w="62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Total Other payables</w:t>
            </w:r>
          </w:p>
        </w:tc>
        <w:tc>
          <w:tcPr>
            <w:tcW w:w="1120" w:type="dxa"/>
            <w:vAlign w:val="bottom"/>
          </w:tcPr>
          <w:p>
            <w:pPr>
              <w:jc w:val="right"/>
              <w:ind w:right="9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58,092</w:t>
            </w:r>
          </w:p>
        </w:tc>
        <w:tc>
          <w:tcPr>
            <w:tcW w:w="400" w:type="dxa"/>
            <w:vAlign w:val="bottom"/>
            <w:gridSpan w:val="2"/>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4"/>
                <w:szCs w:val="14"/>
                <w:color w:val="auto"/>
              </w:rPr>
              <w:t>54,028</w:t>
            </w:r>
          </w:p>
        </w:tc>
      </w:tr>
      <w:tr>
        <w:trPr>
          <w:trHeight w:val="20"/>
        </w:trPr>
        <w:tc>
          <w:tcPr>
            <w:tcW w:w="7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1000" w:hanging="253"/>
        <w:spacing w:after="0"/>
        <w:tabs>
          <w:tab w:leader="none" w:pos="100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For additional details regarding transactions with related parties see Note 24.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and December 31, 2025, the carrying values of Other payables approximated their fair values.</w:t>
      </w:r>
    </w:p>
    <w:p>
      <w:pPr>
        <w:spacing w:after="0" w:line="1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340"/>
          </w:cols>
          <w:pgMar w:left="300" w:top="113" w:right="1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45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NOTES TO UNAUDITED CONDENSED CONSOLIDATED FINANCIAL STATEMENTS</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19 Digital assets loan payable</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presents the components of Digital assets loan payable (in thousands):</w:t>
            </w: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March 31,</w:t>
            </w:r>
          </w:p>
        </w:tc>
        <w:tc>
          <w:tcPr>
            <w:tcW w:w="200" w:type="dxa"/>
            <w:vAlign w:val="bottom"/>
          </w:tcPr>
          <w:p>
            <w:pPr>
              <w:spacing w:after="0"/>
              <w:rPr>
                <w:sz w:val="24"/>
                <w:szCs w:val="24"/>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4500" w:type="dxa"/>
            <w:vAlign w:val="bottom"/>
            <w:tcBorders>
              <w:bottom w:val="single" w:sz="8" w:color="CCEEFF"/>
            </w:tcBorders>
          </w:tcPr>
          <w:p>
            <w:pPr>
              <w:spacing w:after="0"/>
              <w:rPr>
                <w:sz w:val="15"/>
                <w:szCs w:val="15"/>
                <w:color w:val="auto"/>
              </w:rPr>
            </w:pPr>
          </w:p>
        </w:tc>
        <w:tc>
          <w:tcPr>
            <w:tcW w:w="25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Unsecured borrowing at FVTPL</w:t>
            </w:r>
          </w:p>
        </w:tc>
        <w:tc>
          <w:tcPr>
            <w:tcW w:w="2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As of end of March 31,</w:t>
            </w:r>
          </w:p>
        </w:tc>
        <w:tc>
          <w:tcPr>
            <w:tcW w:w="2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4,885</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4500" w:type="dxa"/>
            <w:vAlign w:val="bottom"/>
            <w:tcBorders>
              <w:top w:val="single" w:sz="8" w:color="CCEEFF"/>
            </w:tcBorders>
            <w:shd w:val="clear" w:color="auto" w:fill="CCEEFF"/>
          </w:tcPr>
          <w:p>
            <w:pPr>
              <w:spacing w:after="0"/>
              <w:rPr>
                <w:sz w:val="11"/>
                <w:szCs w:val="11"/>
                <w:color w:val="auto"/>
              </w:rPr>
            </w:pPr>
          </w:p>
        </w:tc>
        <w:tc>
          <w:tcPr>
            <w:tcW w:w="25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Secured borrowing at FVTPL</w:t>
            </w:r>
          </w:p>
        </w:tc>
        <w:tc>
          <w:tcPr>
            <w:tcW w:w="2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 of end of March 31,</w:t>
            </w:r>
          </w:p>
        </w:tc>
        <w:tc>
          <w:tcPr>
            <w:tcW w:w="2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loan payable (non-current)</w:t>
            </w:r>
          </w:p>
        </w:tc>
        <w:tc>
          <w:tcPr>
            <w:tcW w:w="2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4,885</w:t>
            </w:r>
          </w:p>
        </w:tc>
        <w:tc>
          <w:tcPr>
            <w:tcW w:w="2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assets loan payable (current)</w:t>
            </w:r>
          </w:p>
        </w:tc>
        <w:tc>
          <w:tcPr>
            <w:tcW w:w="2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334</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540" w:type="dxa"/>
            <w:vAlign w:val="bottom"/>
          </w:tcPr>
          <w:p>
            <w:pPr>
              <w:jc w:val="right"/>
              <w:ind w:right="2231"/>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3" w:right="31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5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 Derivative financial instruments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1"/>
        </w:trPr>
        <w:tc>
          <w:tcPr>
            <w:tcW w:w="65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presents details regarding Derivative financial instruments (in thousands):</w:t>
            </w: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2"/>
        </w:trPr>
        <w:tc>
          <w:tcPr>
            <w:tcW w:w="88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5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r>
      <w:tr>
        <w:trPr>
          <w:trHeight w:val="156"/>
        </w:trPr>
        <w:tc>
          <w:tcPr>
            <w:tcW w:w="880" w:type="dxa"/>
            <w:vAlign w:val="bottom"/>
          </w:tcPr>
          <w:p>
            <w:pPr>
              <w:spacing w:after="0"/>
              <w:rPr>
                <w:sz w:val="13"/>
                <w:szCs w:val="13"/>
                <w:color w:val="auto"/>
              </w:rPr>
            </w:pPr>
          </w:p>
        </w:tc>
        <w:tc>
          <w:tcPr>
            <w:tcW w:w="56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Derivative financial instruments (assets)</w:t>
            </w:r>
          </w:p>
        </w:tc>
        <w:tc>
          <w:tcPr>
            <w:tcW w:w="2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5"/>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currency perpetual contracts - carrying amount</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6,298</w:t>
            </w:r>
          </w:p>
        </w:tc>
        <w:tc>
          <w:tcPr>
            <w:tcW w:w="10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Derivative financial instruments (liabilities)</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5"/>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Digital currency perpetual contracts - carrying amount</w:t>
            </w:r>
          </w:p>
        </w:tc>
        <w:tc>
          <w:tcPr>
            <w:tcW w:w="28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80" w:type="dxa"/>
            <w:vAlign w:val="bottom"/>
          </w:tcPr>
          <w:p>
            <w:pPr>
              <w:spacing w:after="0"/>
              <w:rPr>
                <w:sz w:val="14"/>
                <w:szCs w:val="14"/>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notional amount</w:t>
            </w:r>
          </w:p>
        </w:tc>
        <w:tc>
          <w:tcPr>
            <w:tcW w:w="2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9"/>
        </w:trPr>
        <w:tc>
          <w:tcPr>
            <w:tcW w:w="880" w:type="dxa"/>
            <w:vAlign w:val="bottom"/>
          </w:tcPr>
          <w:p>
            <w:pPr>
              <w:spacing w:after="0"/>
              <w:rPr>
                <w:sz w:val="15"/>
                <w:szCs w:val="15"/>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Digital currency perpetual contracts</w:t>
            </w:r>
          </w:p>
        </w:tc>
        <w:tc>
          <w:tcPr>
            <w:tcW w:w="2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117,475</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140,522</w:t>
            </w:r>
          </w:p>
        </w:tc>
        <w:tc>
          <w:tcPr>
            <w:tcW w:w="100" w:type="dxa"/>
            <w:vAlign w:val="bottom"/>
          </w:tcPr>
          <w:p>
            <w:pPr>
              <w:spacing w:after="0"/>
              <w:rPr>
                <w:sz w:val="15"/>
                <w:szCs w:val="15"/>
                <w:color w:val="auto"/>
              </w:rPr>
            </w:pPr>
          </w:p>
        </w:tc>
      </w:tr>
    </w:tbl>
    <w:p>
      <w:pPr>
        <w:spacing w:after="0" w:line="13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The notional amount of Derivative financial instruments primarily represents the perpetual futures contracts that the Group offers to eligible customers on the Exchange. Derivative financial instruments are held as trading derivatives that are not designated in hedge accounting relationship.</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1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Fair Value of Financial Instruments</w:t>
      </w:r>
    </w:p>
    <w:p>
      <w:pPr>
        <w:spacing w:after="0" w:line="17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4"/>
          <w:szCs w:val="14"/>
          <w:color w:val="auto"/>
        </w:rPr>
        <w:t>The Group's accounting policies and valuation methodologies for fair value measurements are consistent with those described in the annual financial statements. There have been no changes to the Group's fair value measurement methodologies during the three months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Assets and Liabilities Measured at Fair Value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Group's assets and liabilities measured at fair value as of March 31, 2026 and December 31, 2025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 of March 31, 2026</w:t>
            </w: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financial assets</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217,172</w:t>
            </w: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12,587</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36,881</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inventories</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142,698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held — intangible assets</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1,298,611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1,298,611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financial assets</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758,772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104,534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and other receivables — digital assets</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395,684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395,684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top w:val="single" w:sz="8" w:color="auto"/>
              <w:bottom w:val="single" w:sz="8" w:color="auto"/>
            </w:tcBorders>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2,417,253</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512,805</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36,881</w:t>
            </w:r>
          </w:p>
        </w:tc>
        <w:tc>
          <w:tcPr>
            <w:tcW w:w="2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2,966,939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from related parties</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482,850</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482,850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loan payable</w:t>
            </w: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5,219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488,069</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488,069</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financial assets</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358,184</w:t>
            </w: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17,275</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28,685</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404,144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inventories</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206,178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206,178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 held — intangible assets</w:t>
            </w: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1,537,071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1,537,071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held — financial assets</w:t>
            </w: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1,037,915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1,037,915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and other receivables — digital assets</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446,481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446,481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bottom w:val="single" w:sz="8" w:color="CCEEFF"/>
            </w:tcBorders>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20" w:type="dxa"/>
            <w:vAlign w:val="bottom"/>
            <w:tcBorders>
              <w:top w:val="single" w:sz="8" w:color="auto"/>
              <w:bottom w:val="single" w:sz="8" w:color="auto"/>
            </w:tcBorders>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3,139,348</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463,756</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28,685</w:t>
            </w:r>
          </w:p>
        </w:tc>
        <w:tc>
          <w:tcPr>
            <w:tcW w:w="22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3,631,789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 from related parties</w:t>
            </w:r>
          </w:p>
        </w:tc>
        <w:tc>
          <w:tcPr>
            <w:tcW w:w="2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505,600</w:t>
            </w:r>
          </w:p>
        </w:tc>
        <w:tc>
          <w:tcPr>
            <w:tcW w:w="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505,600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 loan payable</w:t>
            </w: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5,601</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6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20" w:type="dxa"/>
            <w:vAlign w:val="bottom"/>
            <w:tcBorders>
              <w:top w:val="single" w:sz="8" w:color="auto"/>
              <w:bottom w:val="single" w:sz="8" w:color="auto"/>
            </w:tcBorders>
            <w:shd w:val="clear" w:color="auto" w:fill="CCEEFF"/>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7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511,201</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9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511,201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4"/>
          <w:szCs w:val="14"/>
          <w:color w:val="auto"/>
        </w:rPr>
        <w:t>Transfers between levels of the fair value hierarchy are recognized at the end of the reporting period in which they occur, and reflect changes in the availability of observable market data or, for Level 3 instruments, changes in the financial information and other factors considered by management.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Fair Value of Financial Instruments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Level 3 Financial Instruments</w:t>
      </w:r>
    </w:p>
    <w:p>
      <w:pPr>
        <w:spacing w:after="0" w:line="16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 xml:space="preserve">The Group holds certain financial instruments classified as Level 3 under IFRS 13 </w:t>
      </w:r>
      <w:r>
        <w:rPr>
          <w:rFonts w:ascii="Times New Roman" w:cs="Times New Roman" w:eastAsia="Times New Roman" w:hAnsi="Times New Roman"/>
          <w:sz w:val="14"/>
          <w:szCs w:val="14"/>
          <w:i w:val="1"/>
          <w:iCs w:val="1"/>
          <w:color w:val="auto"/>
        </w:rPr>
        <w:t>Fair Value Measurement</w:t>
      </w:r>
      <w:r>
        <w:rPr>
          <w:rFonts w:ascii="Times New Roman" w:cs="Times New Roman" w:eastAsia="Times New Roman" w:hAnsi="Times New Roman"/>
          <w:sz w:val="14"/>
          <w:szCs w:val="14"/>
          <w:color w:val="auto"/>
        </w:rPr>
        <w:t>, for which fair value is estimated by management based on available financial information and other relevant factors, consistent with the methodology described in the Group's annual financial statements on Form 20-F. Activity for Level 3 instruments, including purchases, sales, issuances, settlements, transfers, and realized and unrealized gains and losses, was not material for the three months ended March 31, 2026 and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Unrealized gains (losses) included in earnings for the three months ended March 31, 2026 and 2025, attributable to Level 3 instruments still held at period end, were not material.</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180"/>
          </w:cols>
          <w:pgMar w:left="300" w:top="127"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Share-based payments</w:t>
      </w:r>
    </w:p>
    <w:p>
      <w:pPr>
        <w:spacing w:after="0" w:line="174"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4"/>
          <w:szCs w:val="14"/>
          <w:color w:val="auto"/>
        </w:rPr>
        <w:t>On July 31, 2025, the Company’s Board of Directors approved a reverse stock split of the Company’s Class A common shares, Class B preference shares, and Class C common shares on a 1-for-2 basis (the “Reverse Split”) which became effective on August 1, 2025. All share and per-share amounts, including comparative periods, have been adjusted to reflect the reverse stock split on a retrospective basis. Refer to the annual financial statements for further details on the Reverse Split.</w:t>
      </w:r>
    </w:p>
    <w:p>
      <w:pPr>
        <w:spacing w:after="0" w:line="140"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4"/>
          <w:szCs w:val="14"/>
          <w:color w:val="auto"/>
        </w:rPr>
        <w:t>For a description of the Group's share-based payment arrangements, refer to Note 29 of the Group's annual consolidated financial statements for the year ended December 31, 2025. The tables below present share-based award activity for the three months ended March 31, 2026 and the comparative period presented.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 details of the Trading Rewards Program ("TRP") warrants activity during the three months ended March 31, 2026 and 2025:</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760" w:type="dxa"/>
            <w:vAlign w:val="bottom"/>
            <w:tcBorders>
              <w:bottom w:val="single" w:sz="8" w:color="CCEEFF"/>
            </w:tcBorders>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Outstanding at beginning of period</w:t>
            </w:r>
          </w:p>
        </w:tc>
        <w:tc>
          <w:tcPr>
            <w:tcW w:w="4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369,853</w:t>
            </w: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951"/>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ind w:left="220"/>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Granted during the period</w:t>
            </w:r>
          </w:p>
        </w:tc>
        <w:tc>
          <w:tcPr>
            <w:tcW w:w="4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585,851</w:t>
            </w:r>
          </w:p>
        </w:tc>
        <w:tc>
          <w:tcPr>
            <w:tcW w:w="110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end of period</w:t>
            </w:r>
          </w:p>
        </w:tc>
        <w:tc>
          <w:tcPr>
            <w:tcW w:w="426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955,704</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951"/>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260" w:type="dxa"/>
            <w:vAlign w:val="bottom"/>
            <w:vMerge w:val="restart"/>
          </w:tcPr>
          <w:p>
            <w:pPr>
              <w:jc w:val="right"/>
              <w:ind w:right="2231"/>
              <w:spacing w:after="0"/>
              <w:rPr>
                <w:sz w:val="20"/>
                <w:szCs w:val="20"/>
                <w:color w:val="auto"/>
              </w:rPr>
            </w:pPr>
            <w:r>
              <w:rPr>
                <w:rFonts w:ascii="Times New Roman" w:cs="Times New Roman" w:eastAsia="Times New Roman" w:hAnsi="Times New Roman"/>
                <w:sz w:val="14"/>
                <w:szCs w:val="14"/>
                <w:color w:val="auto"/>
              </w:rPr>
              <w:t>23</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7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376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70" w:lineRule="exact"/>
        <w:rPr>
          <w:sz w:val="20"/>
          <w:szCs w:val="20"/>
          <w:color w:val="auto"/>
        </w:rPr>
      </w:pPr>
    </w:p>
    <w:p>
      <w:pPr>
        <w:ind w:left="200" w:hanging="197"/>
        <w:spacing w:after="0"/>
        <w:tabs>
          <w:tab w:leader="none" w:pos="20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Share-based payments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(continued)</w:t>
      </w:r>
    </w:p>
    <w:p>
      <w:pPr>
        <w:spacing w:after="0" w:line="169"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details of the options activity during the three months ended March 31, 2026 and 2025: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80" w:type="dxa"/>
            <w:vAlign w:val="bottom"/>
            <w:tcBorders>
              <w:bottom w:val="single" w:sz="8" w:color="auto"/>
            </w:tcBorders>
            <w:gridSpan w:val="4"/>
          </w:tcPr>
          <w:p>
            <w:pPr>
              <w:jc w:val="right"/>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Borders>
              <w:bottom w:val="single" w:sz="8" w:color="auto"/>
            </w:tcBorders>
            <w:gridSpan w:val="3"/>
          </w:tcPr>
          <w:p>
            <w:pPr>
              <w:jc w:val="right"/>
              <w:ind w:right="3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9"/>
        </w:trPr>
        <w:tc>
          <w:tcPr>
            <w:tcW w:w="3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1"/>
              <w:spacing w:after="0" w:line="13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1"/>
              <w:spacing w:after="0" w:line="13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2"/>
                <w:szCs w:val="12"/>
                <w:color w:val="auto"/>
              </w:rPr>
            </w:pPr>
          </w:p>
        </w:tc>
      </w:tr>
      <w:tr>
        <w:trPr>
          <w:trHeight w:val="165"/>
        </w:trPr>
        <w:tc>
          <w:tcPr>
            <w:tcW w:w="3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average</w:t>
            </w:r>
          </w:p>
        </w:tc>
      </w:tr>
      <w:tr>
        <w:trPr>
          <w:trHeight w:val="182"/>
        </w:trPr>
        <w:tc>
          <w:tcPr>
            <w:tcW w:w="3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00" w:type="dxa"/>
            <w:vAlign w:val="bottom"/>
          </w:tcPr>
          <w:p>
            <w:pPr>
              <w:spacing w:after="0"/>
              <w:rPr>
                <w:sz w:val="15"/>
                <w:szCs w:val="15"/>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Outstanding at beginning of period</w:t>
            </w:r>
          </w:p>
        </w:tc>
        <w:tc>
          <w:tcPr>
            <w:tcW w:w="3500" w:type="dxa"/>
            <w:vAlign w:val="bottom"/>
            <w:gridSpan w:val="3"/>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5,845,207</w:t>
            </w:r>
          </w:p>
        </w:tc>
        <w:tc>
          <w:tcPr>
            <w:tcW w:w="20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18.10</w:t>
            </w:r>
          </w:p>
        </w:tc>
        <w:tc>
          <w:tcPr>
            <w:tcW w:w="134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4,944,061</w:t>
            </w: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16.09</w:t>
            </w:r>
          </w:p>
        </w:tc>
        <w:tc>
          <w:tcPr>
            <w:tcW w:w="100" w:type="dxa"/>
            <w:vAlign w:val="bottom"/>
            <w:shd w:val="clear" w:color="auto" w:fill="CCEEFF"/>
          </w:tcPr>
          <w:p>
            <w:pPr>
              <w:spacing w:after="0"/>
              <w:rPr>
                <w:sz w:val="13"/>
                <w:szCs w:val="13"/>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Granted during the period</w:t>
            </w:r>
          </w:p>
        </w:tc>
        <w:tc>
          <w:tcPr>
            <w:tcW w:w="3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1,123,927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27.45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1,061,696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100" w:type="dxa"/>
            <w:vAlign w:val="bottom"/>
          </w:tcPr>
          <w:p>
            <w:pPr>
              <w:spacing w:after="0"/>
              <w:rPr>
                <w:sz w:val="14"/>
                <w:szCs w:val="14"/>
                <w:color w:val="auto"/>
              </w:rPr>
            </w:pPr>
          </w:p>
        </w:tc>
      </w:tr>
      <w:tr>
        <w:trPr>
          <w:trHeight w:val="17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 during the period</w:t>
            </w:r>
          </w:p>
        </w:tc>
        <w:tc>
          <w:tcPr>
            <w:tcW w:w="3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(91,680)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20.55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(87,699)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15.91</w:t>
            </w:r>
          </w:p>
        </w:tc>
        <w:tc>
          <w:tcPr>
            <w:tcW w:w="100" w:type="dxa"/>
            <w:vAlign w:val="bottom"/>
            <w:shd w:val="clear" w:color="auto" w:fill="CCEEFF"/>
          </w:tcPr>
          <w:p>
            <w:pPr>
              <w:spacing w:after="0"/>
              <w:rPr>
                <w:sz w:val="15"/>
                <w:szCs w:val="15"/>
                <w:color w:val="auto"/>
              </w:rPr>
            </w:pPr>
          </w:p>
        </w:tc>
      </w:tr>
      <w:tr>
        <w:trPr>
          <w:trHeight w:val="16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Exercised during the period</w:t>
            </w:r>
          </w:p>
        </w:tc>
        <w:tc>
          <w:tcPr>
            <w:tcW w:w="2220" w:type="dxa"/>
            <w:vAlign w:val="bottom"/>
          </w:tcPr>
          <w:p>
            <w:pPr>
              <w:spacing w:after="0"/>
              <w:rPr>
                <w:sz w:val="14"/>
                <w:szCs w:val="14"/>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(243,669)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14.67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76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Outstanding at the end of period</w:t>
            </w:r>
          </w:p>
        </w:tc>
        <w:tc>
          <w:tcPr>
            <w:tcW w:w="2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line="156" w:lineRule="exact"/>
              <w:rPr>
                <w:sz w:val="20"/>
                <w:szCs w:val="20"/>
                <w:color w:val="auto"/>
              </w:rPr>
            </w:pPr>
            <w:r>
              <w:rPr>
                <w:rFonts w:ascii="Times New Roman" w:cs="Times New Roman" w:eastAsia="Times New Roman" w:hAnsi="Times New Roman"/>
                <w:sz w:val="14"/>
                <w:szCs w:val="14"/>
                <w:color w:val="auto"/>
              </w:rPr>
              <w:t>6,633,785</w:t>
            </w:r>
          </w:p>
        </w:tc>
        <w:tc>
          <w:tcPr>
            <w:tcW w:w="200" w:type="dxa"/>
            <w:vAlign w:val="bottom"/>
            <w:gridSpan w:val="2"/>
            <w:shd w:val="clear" w:color="auto" w:fill="CCEEFF"/>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line="156" w:lineRule="exact"/>
              <w:rPr>
                <w:sz w:val="20"/>
                <w:szCs w:val="20"/>
                <w:color w:val="auto"/>
              </w:rPr>
            </w:pPr>
            <w:r>
              <w:rPr>
                <w:rFonts w:ascii="Times New Roman" w:cs="Times New Roman" w:eastAsia="Times New Roman" w:hAnsi="Times New Roman"/>
                <w:sz w:val="14"/>
                <w:szCs w:val="14"/>
                <w:color w:val="auto"/>
              </w:rPr>
              <w:t>19.75</w:t>
            </w:r>
          </w:p>
        </w:tc>
        <w:tc>
          <w:tcPr>
            <w:tcW w:w="134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5,918,058</w:t>
            </w:r>
          </w:p>
        </w:tc>
        <w:tc>
          <w:tcPr>
            <w:tcW w:w="1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17.61</w:t>
            </w:r>
          </w:p>
        </w:tc>
        <w:tc>
          <w:tcPr>
            <w:tcW w:w="100" w:type="dxa"/>
            <w:vAlign w:val="bottom"/>
            <w:shd w:val="clear" w:color="auto" w:fill="CCEEFF"/>
          </w:tcPr>
          <w:p>
            <w:pPr>
              <w:spacing w:after="0"/>
              <w:rPr>
                <w:sz w:val="13"/>
                <w:szCs w:val="13"/>
                <w:color w:val="auto"/>
              </w:rPr>
            </w:pPr>
          </w:p>
        </w:tc>
      </w:tr>
      <w:tr>
        <w:trPr>
          <w:trHeight w:val="17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Exercisable at the end of period</w:t>
            </w:r>
          </w:p>
        </w:tc>
        <w:tc>
          <w:tcPr>
            <w:tcW w:w="35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3,195,593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18.08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8"/>
        </w:trPr>
        <w:tc>
          <w:tcPr>
            <w:tcW w:w="3760" w:type="dxa"/>
            <w:vAlign w:val="bottom"/>
          </w:tcPr>
          <w:p>
            <w:pPr>
              <w:spacing w:after="0"/>
              <w:rPr>
                <w:sz w:val="24"/>
                <w:szCs w:val="24"/>
                <w:color w:val="auto"/>
              </w:rPr>
            </w:pPr>
          </w:p>
        </w:tc>
        <w:tc>
          <w:tcPr>
            <w:tcW w:w="222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24</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3"/>
        </w:trPr>
        <w:tc>
          <w:tcPr>
            <w:tcW w:w="376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RSUs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present details of the RSU activity during the three months ended March 31, 2026 and 2025:</w:t>
      </w:r>
    </w:p>
    <w:p>
      <w:pPr>
        <w:spacing w:after="0" w:line="16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2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11"/>
              <w:spacing w:after="0" w:line="156"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89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Outstanding at beginning of the period</w:t>
            </w:r>
          </w:p>
        </w:tc>
        <w:tc>
          <w:tcPr>
            <w:tcW w:w="76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193,148</w:t>
            </w:r>
          </w:p>
        </w:tc>
        <w:tc>
          <w:tcPr>
            <w:tcW w:w="146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200,046</w:t>
            </w:r>
          </w:p>
        </w:tc>
        <w:tc>
          <w:tcPr>
            <w:tcW w:w="100" w:type="dxa"/>
            <w:vAlign w:val="bottom"/>
            <w:shd w:val="clear" w:color="auto" w:fill="CCEEFF"/>
          </w:tcPr>
          <w:p>
            <w:pPr>
              <w:spacing w:after="0"/>
              <w:rPr>
                <w:sz w:val="13"/>
                <w:szCs w:val="13"/>
                <w:color w:val="auto"/>
              </w:rPr>
            </w:pPr>
          </w:p>
        </w:tc>
      </w:tr>
      <w:tr>
        <w:trPr>
          <w:trHeight w:val="165"/>
        </w:trPr>
        <w:tc>
          <w:tcPr>
            <w:tcW w:w="8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Granted during the period</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 during the period</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5"/>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Released during the period</w:t>
            </w:r>
          </w:p>
        </w:tc>
        <w:tc>
          <w:tcPr>
            <w:tcW w:w="9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(160,037)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8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Outstanding at end of the period</w:t>
            </w:r>
          </w:p>
        </w:tc>
        <w:tc>
          <w:tcPr>
            <w:tcW w:w="9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33,111</w:t>
            </w:r>
          </w:p>
        </w:tc>
        <w:tc>
          <w:tcPr>
            <w:tcW w:w="220" w:type="dxa"/>
            <w:vAlign w:val="bottom"/>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4"/>
                <w:szCs w:val="14"/>
                <w:color w:val="auto"/>
              </w:rPr>
              <w:t>200,046</w:t>
            </w:r>
          </w:p>
        </w:tc>
        <w:tc>
          <w:tcPr>
            <w:tcW w:w="100" w:type="dxa"/>
            <w:vAlign w:val="bottom"/>
            <w:shd w:val="clear" w:color="auto" w:fill="CCEEFF"/>
          </w:tcPr>
          <w:p>
            <w:pPr>
              <w:spacing w:after="0"/>
              <w:rPr>
                <w:sz w:val="13"/>
                <w:szCs w:val="13"/>
                <w:color w:val="auto"/>
              </w:rPr>
            </w:pPr>
          </w:p>
        </w:tc>
      </w:tr>
      <w:tr>
        <w:trPr>
          <w:trHeight w:val="497"/>
        </w:trPr>
        <w:tc>
          <w:tcPr>
            <w:tcW w:w="8020" w:type="dxa"/>
            <w:vAlign w:val="bottom"/>
          </w:tcPr>
          <w:p>
            <w:pPr>
              <w:ind w:left="5580"/>
              <w:spacing w:after="0"/>
              <w:rPr>
                <w:sz w:val="20"/>
                <w:szCs w:val="20"/>
                <w:color w:val="auto"/>
              </w:rPr>
            </w:pPr>
            <w:r>
              <w:rPr>
                <w:rFonts w:ascii="Times New Roman" w:cs="Times New Roman" w:eastAsia="Times New Roman" w:hAnsi="Times New Roman"/>
                <w:sz w:val="14"/>
                <w:szCs w:val="14"/>
                <w:color w:val="auto"/>
              </w:rPr>
              <w:t>25</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3"/>
        </w:trPr>
        <w:tc>
          <w:tcPr>
            <w:tcW w:w="80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7"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 Earnings/(loss) per share</w:t>
      </w:r>
    </w:p>
    <w:p>
      <w:pPr>
        <w:spacing w:after="0" w:line="1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the three months ended March 31, 2026 and 2025, the weighted average number of ordinary shares outstanding used in the calculation of basic earnings per share was 151,146,279 and 113,214,765, respectively. For the three months ended March 31, 2026 and 2025, the weighted average number of ordinary shares outstanding used in the calculation of diluted earnings per share was 151,146,279 and 113,214,765.</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7164705"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160"/>
          </w:cols>
          <w:pgMar w:left="300" w:top="127"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5"/>
              </w:rPr>
              <w:t>Table of Contents</w:t>
            </w:r>
          </w:p>
        </w:tc>
        <w:tc>
          <w:tcPr>
            <w:tcW w:w="7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BULLISH</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24 Related party transactions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table below presents related party transactions entered into during the period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Other expenses</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Services fees charged to a related party</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Finance expense</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interest expenses charged by related parties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8,574</w:t>
            </w:r>
          </w:p>
        </w:tc>
        <w:tc>
          <w:tcPr>
            <w:tcW w:w="3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presents outstanding balances arising from the above transactions as of March 31, 2026, and December 31, 2025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39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Other payables</w:t>
            </w:r>
          </w:p>
        </w:tc>
        <w:tc>
          <w:tcPr>
            <w:tcW w:w="39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Amounts due to related parties</w:t>
            </w:r>
          </w:p>
        </w:tc>
        <w:tc>
          <w:tcPr>
            <w:tcW w:w="4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1,091</w:t>
            </w: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 interest expense payable to related parties</w:t>
            </w:r>
          </w:p>
        </w:tc>
        <w:tc>
          <w:tcPr>
            <w:tcW w:w="3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8,574</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restart"/>
          </w:tcPr>
          <w:p>
            <w:pPr>
              <w:spacing w:after="0"/>
              <w:rPr>
                <w:sz w:val="14"/>
                <w:szCs w:val="14"/>
                <w:color w:val="auto"/>
              </w:rPr>
            </w:pPr>
          </w:p>
        </w:tc>
        <w:tc>
          <w:tcPr>
            <w:tcW w:w="40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Borrowings from the Related Party</w:t>
            </w:r>
          </w:p>
        </w:tc>
        <w:tc>
          <w:tcPr>
            <w:tcW w:w="3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Amounts due to related parties</w:t>
            </w:r>
          </w:p>
        </w:tc>
        <w:tc>
          <w:tcPr>
            <w:tcW w:w="3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482,850</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920" w:type="dxa"/>
            <w:vAlign w:val="bottom"/>
          </w:tcPr>
          <w:p>
            <w:pPr>
              <w:jc w:val="right"/>
              <w:ind w:right="2231"/>
              <w:spacing w:after="0"/>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BULLISH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25 Subsequent events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Group has evaluated subsequent events through May 14, 2026, the date the condensed consolidated financial statements were available for issuance.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Acquisition of Equiniti</w:t>
      </w:r>
    </w:p>
    <w:p>
      <w:pPr>
        <w:spacing w:after="0" w:line="1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May 4, 2026, subsequent to the quarter ended March 31, 2026, Bullish entered into a definitive agreement to acquire Equiniti, a global transfer agent and provider of shareholder services, from affiliates of Siris Capital Group, in a transaction valued at approximately $4.2 billion. The transaction is expected to close in the first quarter of 2027, subject to regulatory approvals and customary closing conditions. This transaction does not affect the financial statements for the quarter ended March 31, 2026. For additional details, refer to Bullish's Report on Form 6-K furnished to the Securities and Exchange Commission on May 5, 2026.</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27" w:right="319" w:bottom="1440" w:gutter="0" w:footer="0" w:header="0"/>
        </w:sectPr>
      </w:pPr>
    </w:p>
    <w:bookmarkStart w:id="46" w:name="page47"/>
    <w:bookmarkEnd w:id="46"/>
    <w:p>
      <w:pPr>
        <w:ind w:left="9440"/>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125730</wp:posOffset>
            </wp:positionV>
            <wp:extent cx="7211695" cy="4244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11695" cy="424497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349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11695" cy="43497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207010</wp:posOffset>
            </wp:positionV>
            <wp:extent cx="7211695" cy="4061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211695" cy="4061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
      <w:numFmt w:val="bullet"/>
      <w:start w:val="1"/>
    </w:lvl>
  </w:abstractNum>
  <w:abstractNum w:abstractNumId="5">
    <w:nsid w:val="12200854"/>
    <w:multiLevelType w:val="hybridMultilevel"/>
    <w:lvl w:ilvl="0">
      <w:lvlJc w:val="left"/>
      <w:lvlText w:val="●"/>
      <w:numFmt w:val="bullet"/>
      <w:start w:val="1"/>
    </w:lvl>
    <w:lvl w:ilvl="1">
      <w:lvlJc w:val="left"/>
      <w:lvlText w:val="○"/>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jpeg"/><Relationship Id="rId9" Type="http://schemas.openxmlformats.org/officeDocument/2006/relationships/hyperlink" Target="http://www.sec.gov/Archives/edgar/data/1872195/000110465925077060/tm2421409d29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2026-05-14T05:46:59Z</dcterms:created>
  <dcterms:modified xsi:type="dcterms:W3CDTF">2026-05-14T05:46:59Z</dcterms:modified>
</cp:coreProperties>
</file>