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Bliss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BULLISH, UNIT B1, THE GROVE TOO</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ESTERLEY TIBBETTS HIGHWAY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KY1-9006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Bullish</w:t>
              </w:r>
            </w:hyperlink>
            <w:r>
              <w:rPr/>
              <w:t xml:space="preserve"> [ </w:t>
            </w:r>
            <w:r>
              <w:rPr>
                <w:rFonts w:ascii="Times;serif" w:hAnsi="Times;serif"/>
                <w:color w:val="0000FF"/>
                <w:sz w:val="24"/>
                <w:shd w:fill="FFFFFF" w:val="clear"/>
              </w:rPr>
              <w:t>BLSH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5"/>
        <w:gridCol w:w="774"/>
        <w:gridCol w:w="601"/>
        <w:gridCol w:w="348"/>
        <w:gridCol w:w="802"/>
        <w:gridCol w:w="453"/>
        <w:gridCol w:w="712"/>
        <w:gridCol w:w="1279"/>
        <w:gridCol w:w="997"/>
        <w:gridCol w:w="10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40.1</w:t>
            </w:r>
            <w:r>
              <w:rPr>
                <w:rFonts w:ascii="Times;serif" w:hAnsi="Times;serif"/>
                <w:color w:val="008000"/>
                <w:position w:val="7"/>
                <w:sz w:val="16"/>
                <w:sz w:val="20"/>
                <w:shd w:fill="FFFFFF" w:val="clear"/>
              </w:rPr>
              <w:t>(1)</w:t>
            </w:r>
          </w:p>
        </w:tc>
        <w:tc>
          <w:tcPr>
            <w:tcW w:w="12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4,794,773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Bliss Capital Limited</w:t>
            </w:r>
            <w:r>
              <w:rPr>
                <w:rFonts w:ascii="Times;serif" w:hAnsi="Times;serif"/>
                <w:color w:val="008000"/>
                <w:position w:val="7"/>
                <w:sz w:val="16"/>
                <w:sz w:val="20"/>
                <w:shd w:fill="FFFFFF" w:val="clear"/>
              </w:rPr>
              <w:t>(3)</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10,016</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one trade at a price of $40.10.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5,877 restricted share units ("RSUs") granted to the Reporting Person pursuant to the Bullish 2025 Omnibus Incentive Plan. The RSUs vest in full on September 1, 2027. Each RSU represents a right to receive one ordinary share of Bullish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securities are held indirectly through Bliss Capital Limited, an entity controlled by the Reporting Person. The Reporting Person is deemed to beneficially own the shares held by Bliss Capital Limited.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 Bliss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4191" TargetMode="External"/><Relationship Id="rId5" Type="http://schemas.openxmlformats.org/officeDocument/2006/relationships/hyperlink" Target="http://www.sec.gov/cgi-bin/browse-edgar?action=getcompany&amp;CIK=0001872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3814</Characters>
  <CharactersWithSpaces>4444</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