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0002043628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5"/>
        <w:gridCol w:w="3740"/>
      </w:tblGrid>
      <w:tr>
        <w:trPr/>
        <w:tc>
          <w:tcPr>
            <w:tcW w:w="6465" w:type="dxa"/>
            <w:tcBorders/>
            <w:vAlign w:val="center"/>
          </w:tcPr>
          <w:p>
            <w:pPr>
              <w:pStyle w:val="TableContents"/>
              <w:bidi w:val="0"/>
              <w:spacing w:before="0" w:after="283"/>
              <w:jc w:val="left"/>
              <w:rPr/>
            </w:pPr>
            <w:r>
              <w:rPr/>
              <w:t>Name of Issuer</w:t>
            </w:r>
          </w:p>
        </w:tc>
        <w:tc>
          <w:tcPr>
            <w:tcW w:w="3740" w:type="dxa"/>
            <w:tcBorders/>
            <w:vAlign w:val="center"/>
          </w:tcPr>
          <w:p>
            <w:pPr>
              <w:pStyle w:val="TableContents"/>
              <w:bidi w:val="0"/>
              <w:spacing w:before="0" w:after="0"/>
              <w:jc w:val="left"/>
              <w:rPr/>
            </w:pPr>
            <w:r>
              <w:rPr/>
              <w:t>Bullish</w:t>
            </w:r>
          </w:p>
        </w:tc>
      </w:tr>
      <w:tr>
        <w:trPr/>
        <w:tc>
          <w:tcPr>
            <w:tcW w:w="6465" w:type="dxa"/>
            <w:tcBorders/>
            <w:vAlign w:val="center"/>
          </w:tcPr>
          <w:p>
            <w:pPr>
              <w:pStyle w:val="TableContents"/>
              <w:bidi w:val="0"/>
              <w:spacing w:before="0" w:after="283"/>
              <w:jc w:val="left"/>
              <w:rPr/>
            </w:pPr>
            <w:r>
              <w:rPr/>
              <w:t>SEC File Number</w:t>
            </w:r>
          </w:p>
        </w:tc>
        <w:tc>
          <w:tcPr>
            <w:tcW w:w="3740" w:type="dxa"/>
            <w:tcBorders/>
            <w:vAlign w:val="center"/>
          </w:tcPr>
          <w:p>
            <w:pPr>
              <w:pStyle w:val="TableContents"/>
              <w:bidi w:val="0"/>
              <w:spacing w:before="0" w:after="0"/>
              <w:jc w:val="left"/>
              <w:rPr/>
            </w:pPr>
            <w:r>
              <w:rPr/>
              <w:t>001-42797</w:t>
            </w:r>
          </w:p>
        </w:tc>
      </w:tr>
      <w:tr>
        <w:trPr/>
        <w:tc>
          <w:tcPr>
            <w:tcW w:w="6465" w:type="dxa"/>
            <w:tcBorders/>
            <w:vAlign w:val="center"/>
          </w:tcPr>
          <w:p>
            <w:pPr>
              <w:pStyle w:val="TableContents"/>
              <w:bidi w:val="0"/>
              <w:spacing w:before="0" w:after="283"/>
              <w:jc w:val="left"/>
              <w:rPr/>
            </w:pPr>
            <w:r>
              <w:rPr/>
              <w:t>Address of Issuer</w:t>
            </w:r>
          </w:p>
        </w:tc>
        <w:tc>
          <w:tcPr>
            <w:tcW w:w="3740" w:type="dxa"/>
            <w:tcBorders/>
            <w:vAlign w:val="center"/>
          </w:tcPr>
          <w:p>
            <w:pPr>
              <w:pStyle w:val="TableContents"/>
              <w:bidi w:val="0"/>
              <w:spacing w:before="0" w:after="0"/>
              <w:jc w:val="left"/>
              <w:rPr/>
            </w:pPr>
            <w:r>
              <w:rPr/>
              <w:t>10A Building A, 60 Nexus Way</w:t>
              <w:br/>
              <w:t>George Town</w:t>
              <w:br/>
              <w:t xml:space="preserve">CAYMAN ISLANDS </w:t>
              <w:br/>
              <w:t>KY1-9005</w:t>
            </w:r>
          </w:p>
        </w:tc>
      </w:tr>
      <w:tr>
        <w:trPr/>
        <w:tc>
          <w:tcPr>
            <w:tcW w:w="6465" w:type="dxa"/>
            <w:tcBorders/>
            <w:vAlign w:val="center"/>
          </w:tcPr>
          <w:p>
            <w:pPr>
              <w:pStyle w:val="TableContents"/>
              <w:bidi w:val="0"/>
              <w:spacing w:before="0" w:after="283"/>
              <w:jc w:val="left"/>
              <w:rPr/>
            </w:pPr>
            <w:r>
              <w:rPr/>
              <w:t>Phone</w:t>
            </w:r>
          </w:p>
        </w:tc>
        <w:tc>
          <w:tcPr>
            <w:tcW w:w="3740" w:type="dxa"/>
            <w:tcBorders/>
            <w:vAlign w:val="center"/>
          </w:tcPr>
          <w:p>
            <w:pPr>
              <w:pStyle w:val="TableContents"/>
              <w:bidi w:val="0"/>
              <w:spacing w:before="0" w:after="0"/>
              <w:jc w:val="left"/>
              <w:rPr/>
            </w:pPr>
            <w:r>
              <w:rPr/>
              <w:t>852-3761-9140</w:t>
            </w:r>
          </w:p>
        </w:tc>
      </w:tr>
      <w:tr>
        <w:trPr/>
        <w:tc>
          <w:tcPr>
            <w:tcW w:w="6465" w:type="dxa"/>
            <w:tcBorders/>
            <w:vAlign w:val="center"/>
          </w:tcPr>
          <w:p>
            <w:pPr>
              <w:pStyle w:val="TableContents"/>
              <w:bidi w:val="0"/>
              <w:spacing w:before="0" w:after="283"/>
              <w:jc w:val="left"/>
              <w:rPr/>
            </w:pPr>
            <w:r>
              <w:rPr/>
              <w:t>Name of Person for Whose Account the Securities are To Be Sold</w:t>
            </w:r>
          </w:p>
        </w:tc>
        <w:tc>
          <w:tcPr>
            <w:tcW w:w="3740" w:type="dxa"/>
            <w:tcBorders/>
            <w:vAlign w:val="center"/>
          </w:tcPr>
          <w:p>
            <w:pPr>
              <w:pStyle w:val="TableContents"/>
              <w:bidi w:val="0"/>
              <w:spacing w:before="0" w:after="0"/>
              <w:jc w:val="left"/>
              <w:rPr/>
            </w:pPr>
            <w:r>
              <w:rPr/>
              <w:t>Bliss Capital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5" w:type="dxa"/>
            <w:tcBorders/>
            <w:vAlign w:val="center"/>
          </w:tcPr>
          <w:p>
            <w:pPr>
              <w:pStyle w:val="TableContents"/>
              <w:bidi w:val="0"/>
              <w:spacing w:before="0" w:after="283"/>
              <w:jc w:val="left"/>
              <w:rPr/>
            </w:pPr>
            <w:r>
              <w:rPr/>
              <w:t>Relationship to Issuer</w:t>
            </w:r>
          </w:p>
        </w:tc>
        <w:tc>
          <w:tcPr>
            <w:tcW w:w="374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Ordinary Shares</w:t>
            </w:r>
          </w:p>
        </w:tc>
        <w:tc>
          <w:tcPr>
            <w:tcW w:w="1508" w:type="dxa"/>
            <w:tcBorders/>
            <w:vAlign w:val="center"/>
          </w:tcPr>
          <w:p>
            <w:pPr>
              <w:pStyle w:val="TableContents"/>
              <w:bidi w:val="0"/>
              <w:spacing w:before="0" w:after="0"/>
              <w:jc w:val="left"/>
              <w:rPr/>
            </w:pPr>
            <w:r>
              <w:rPr/>
              <w:t>J.P. Morgan Securities LLC</w:t>
              <w:br/>
              <w:t>270 Park Avenue, 10th Floor</w:t>
              <w:br/>
              <w:t>New York   NY   10017</w:t>
            </w:r>
          </w:p>
        </w:tc>
        <w:tc>
          <w:tcPr>
            <w:tcW w:w="1179" w:type="dxa"/>
            <w:tcBorders/>
            <w:vAlign w:val="center"/>
          </w:tcPr>
          <w:p>
            <w:pPr>
              <w:pStyle w:val="TableContents"/>
              <w:bidi w:val="0"/>
              <w:spacing w:before="0" w:after="283"/>
              <w:jc w:val="left"/>
              <w:rPr/>
            </w:pPr>
            <w:r>
              <w:rPr/>
              <w:t>260000</w:t>
            </w:r>
          </w:p>
        </w:tc>
        <w:tc>
          <w:tcPr>
            <w:tcW w:w="1388" w:type="dxa"/>
            <w:tcBorders/>
            <w:vAlign w:val="center"/>
          </w:tcPr>
          <w:p>
            <w:pPr>
              <w:pStyle w:val="TableContents"/>
              <w:bidi w:val="0"/>
              <w:spacing w:before="0" w:after="283"/>
              <w:jc w:val="left"/>
              <w:rPr/>
            </w:pPr>
            <w:r>
              <w:rPr/>
              <w:t>9968400</w:t>
            </w:r>
          </w:p>
        </w:tc>
        <w:tc>
          <w:tcPr>
            <w:tcW w:w="1562" w:type="dxa"/>
            <w:tcBorders/>
            <w:vAlign w:val="center"/>
          </w:tcPr>
          <w:p>
            <w:pPr>
              <w:pStyle w:val="TableContents"/>
              <w:bidi w:val="0"/>
              <w:spacing w:before="0" w:after="283"/>
              <w:jc w:val="left"/>
              <w:rPr/>
            </w:pPr>
            <w:r>
              <w:rPr/>
              <w:t>150833916</w:t>
            </w:r>
          </w:p>
        </w:tc>
        <w:tc>
          <w:tcPr>
            <w:tcW w:w="1573" w:type="dxa"/>
            <w:tcBorders/>
            <w:vAlign w:val="center"/>
          </w:tcPr>
          <w:p>
            <w:pPr>
              <w:pStyle w:val="TableContents"/>
              <w:bidi w:val="0"/>
              <w:spacing w:before="0" w:after="283"/>
              <w:jc w:val="left"/>
              <w:rPr/>
            </w:pPr>
            <w:r>
              <w:rPr/>
              <w:t>09/21/2026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8"/>
        <w:gridCol w:w="1143"/>
        <w:gridCol w:w="1505"/>
        <w:gridCol w:w="1231"/>
        <w:gridCol w:w="535"/>
        <w:gridCol w:w="1143"/>
        <w:gridCol w:w="1206"/>
        <w:gridCol w:w="1084"/>
        <w:gridCol w:w="1230"/>
      </w:tblGrid>
      <w:tr>
        <w:trPr/>
        <w:tc>
          <w:tcPr>
            <w:tcW w:w="1128" w:type="dxa"/>
            <w:tcBorders/>
            <w:vAlign w:val="center"/>
          </w:tcPr>
          <w:p>
            <w:pPr>
              <w:pStyle w:val="TableHeading"/>
              <w:suppressLineNumbers/>
              <w:bidi w:val="0"/>
              <w:spacing w:before="0" w:after="283"/>
              <w:jc w:val="center"/>
              <w:rPr/>
            </w:pPr>
            <w:r>
              <w:rPr/>
              <w:t>Title of the Class</w:t>
            </w:r>
          </w:p>
        </w:tc>
        <w:tc>
          <w:tcPr>
            <w:tcW w:w="1143"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31"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3" w:type="dxa"/>
            <w:tcBorders/>
            <w:vAlign w:val="center"/>
          </w:tcPr>
          <w:p>
            <w:pPr>
              <w:pStyle w:val="TableHeading"/>
              <w:suppressLineNumbers/>
              <w:bidi w:val="0"/>
              <w:spacing w:before="0" w:after="283"/>
              <w:jc w:val="center"/>
              <w:rPr/>
            </w:pPr>
            <w:r>
              <w:rPr/>
              <w:t>Date Donor Acquired</w:t>
            </w:r>
          </w:p>
        </w:tc>
        <w:tc>
          <w:tcPr>
            <w:tcW w:w="1206" w:type="dxa"/>
            <w:tcBorders/>
            <w:vAlign w:val="center"/>
          </w:tcPr>
          <w:p>
            <w:pPr>
              <w:pStyle w:val="TableHeading"/>
              <w:suppressLineNumbers/>
              <w:bidi w:val="0"/>
              <w:spacing w:before="0" w:after="283"/>
              <w:jc w:val="center"/>
              <w:rPr/>
            </w:pPr>
            <w:r>
              <w:rPr/>
              <w:t>Amount of Securities Acquired</w:t>
            </w:r>
          </w:p>
        </w:tc>
        <w:tc>
          <w:tcPr>
            <w:tcW w:w="1084" w:type="dxa"/>
            <w:tcBorders/>
            <w:vAlign w:val="center"/>
          </w:tcPr>
          <w:p>
            <w:pPr>
              <w:pStyle w:val="TableHeading"/>
              <w:suppressLineNumbers/>
              <w:bidi w:val="0"/>
              <w:spacing w:before="0" w:after="283"/>
              <w:jc w:val="center"/>
              <w:rPr/>
            </w:pPr>
            <w:r>
              <w:rPr/>
              <w:t>Date of Payment</w:t>
            </w:r>
          </w:p>
        </w:tc>
        <w:tc>
          <w:tcPr>
            <w:tcW w:w="123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8" w:type="dxa"/>
            <w:tcBorders/>
            <w:vAlign w:val="center"/>
          </w:tcPr>
          <w:p>
            <w:pPr>
              <w:pStyle w:val="TableContents"/>
              <w:bidi w:val="0"/>
              <w:spacing w:before="0" w:after="283"/>
              <w:jc w:val="left"/>
              <w:rPr/>
            </w:pPr>
            <w:r>
              <w:rPr/>
              <w:t>Ordinary Shares</w:t>
            </w:r>
          </w:p>
        </w:tc>
        <w:tc>
          <w:tcPr>
            <w:tcW w:w="1143" w:type="dxa"/>
            <w:tcBorders/>
            <w:vAlign w:val="center"/>
          </w:tcPr>
          <w:p>
            <w:pPr>
              <w:pStyle w:val="TableContents"/>
              <w:bidi w:val="0"/>
              <w:spacing w:before="0" w:after="283"/>
              <w:jc w:val="left"/>
              <w:rPr/>
            </w:pPr>
            <w:r>
              <w:rPr/>
              <w:t>08/23/2024</w:t>
            </w:r>
          </w:p>
        </w:tc>
        <w:tc>
          <w:tcPr>
            <w:tcW w:w="1505" w:type="dxa"/>
            <w:tcBorders/>
            <w:vAlign w:val="center"/>
          </w:tcPr>
          <w:p>
            <w:pPr>
              <w:pStyle w:val="TableContents"/>
              <w:bidi w:val="0"/>
              <w:spacing w:before="0" w:after="283"/>
              <w:jc w:val="left"/>
              <w:rPr/>
            </w:pPr>
            <w:r>
              <w:rPr/>
              <w:t>Transfer</w:t>
            </w:r>
          </w:p>
        </w:tc>
        <w:tc>
          <w:tcPr>
            <w:tcW w:w="1231" w:type="dxa"/>
            <w:tcBorders/>
            <w:vAlign w:val="center"/>
          </w:tcPr>
          <w:p>
            <w:pPr>
              <w:pStyle w:val="TableContents"/>
              <w:bidi w:val="0"/>
              <w:spacing w:before="0" w:after="283"/>
              <w:jc w:val="left"/>
              <w:rPr/>
            </w:pPr>
            <w:r>
              <w:rPr/>
              <w:t>Andrew Bliss, who acquired the shares on 07/23/24 from Block.one pursuant to a share buyback</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pPr>
            <w:r>
              <w:rPr/>
              <w:t>260000</w:t>
            </w:r>
          </w:p>
        </w:tc>
        <w:tc>
          <w:tcPr>
            <w:tcW w:w="1084" w:type="dxa"/>
            <w:tcBorders/>
            <w:vAlign w:val="center"/>
          </w:tcPr>
          <w:p>
            <w:pPr>
              <w:pStyle w:val="TableContents"/>
              <w:bidi w:val="0"/>
              <w:spacing w:before="0" w:after="283"/>
              <w:jc w:val="left"/>
              <w:rPr/>
            </w:pPr>
            <w:r>
              <w:rPr/>
              <w:t>08/23/2024</w:t>
            </w:r>
          </w:p>
        </w:tc>
        <w:tc>
          <w:tcPr>
            <w:tcW w:w="123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70"/>
        <w:gridCol w:w="5435"/>
      </w:tblGrid>
      <w:tr>
        <w:trPr/>
        <w:tc>
          <w:tcPr>
            <w:tcW w:w="4770" w:type="dxa"/>
            <w:tcBorders/>
            <w:vAlign w:val="center"/>
          </w:tcPr>
          <w:p>
            <w:pPr>
              <w:pStyle w:val="TableContents"/>
              <w:bidi w:val="0"/>
              <w:spacing w:before="0" w:after="283"/>
              <w:jc w:val="left"/>
              <w:rPr/>
            </w:pPr>
            <w:r>
              <w:rPr/>
              <w:t>Remarks</w:t>
            </w:r>
          </w:p>
        </w:tc>
        <w:tc>
          <w:tcPr>
            <w:tcW w:w="5435" w:type="dxa"/>
            <w:tcBorders/>
            <w:vAlign w:val="center"/>
          </w:tcPr>
          <w:p>
            <w:pPr>
              <w:pStyle w:val="TableContents"/>
              <w:bidi w:val="0"/>
              <w:spacing w:before="0" w:after="283"/>
              <w:jc w:val="left"/>
              <w:rPr>
                <w:sz w:val="4"/>
                <w:szCs w:val="4"/>
              </w:rPr>
            </w:pPr>
            <w:r>
              <w:rPr>
                <w:sz w:val="4"/>
                <w:szCs w:val="4"/>
              </w:rPr>
            </w:r>
          </w:p>
        </w:tc>
      </w:tr>
      <w:tr>
        <w:trPr/>
        <w:tc>
          <w:tcPr>
            <w:tcW w:w="4770" w:type="dxa"/>
            <w:tcBorders/>
            <w:vAlign w:val="center"/>
          </w:tcPr>
          <w:p>
            <w:pPr>
              <w:pStyle w:val="TableContents"/>
              <w:bidi w:val="0"/>
              <w:spacing w:before="0" w:after="283"/>
              <w:jc w:val="left"/>
              <w:rPr/>
            </w:pPr>
            <w:r>
              <w:rPr/>
              <w:t>Date of Notice</w:t>
            </w:r>
          </w:p>
        </w:tc>
        <w:tc>
          <w:tcPr>
            <w:tcW w:w="5435" w:type="dxa"/>
            <w:tcBorders/>
            <w:vAlign w:val="center"/>
          </w:tcPr>
          <w:p>
            <w:pPr>
              <w:pStyle w:val="TableContents"/>
              <w:bidi w:val="0"/>
              <w:spacing w:before="0" w:after="0"/>
              <w:jc w:val="left"/>
              <w:rPr/>
            </w:pPr>
            <w:r>
              <w:rPr/>
              <w:t>09/21/2026</w:t>
            </w:r>
          </w:p>
        </w:tc>
      </w:tr>
      <w:tr>
        <w:trPr/>
        <w:tc>
          <w:tcPr>
            <w:tcW w:w="4770" w:type="dxa"/>
            <w:tcBorders/>
            <w:vAlign w:val="center"/>
          </w:tcPr>
          <w:p>
            <w:pPr>
              <w:pStyle w:val="TableContents"/>
              <w:bidi w:val="0"/>
              <w:spacing w:before="0" w:after="283"/>
              <w:jc w:val="left"/>
              <w:rPr/>
            </w:pPr>
            <w:r>
              <w:rPr/>
              <w:t>Date of Plan Adoption or Giving of Instruction, If Relying on Rule 10b5-1</w:t>
            </w:r>
          </w:p>
        </w:tc>
        <w:tc>
          <w:tcPr>
            <w:tcW w:w="5435"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70" w:type="dxa"/>
            <w:tcBorders/>
            <w:vAlign w:val="center"/>
          </w:tcPr>
          <w:p>
            <w:pPr>
              <w:pStyle w:val="TableContents"/>
              <w:bidi w:val="0"/>
              <w:spacing w:before="0" w:after="283"/>
              <w:jc w:val="left"/>
              <w:rPr/>
            </w:pPr>
            <w:r>
              <w:rPr/>
              <w:t>Signature</w:t>
            </w:r>
          </w:p>
        </w:tc>
        <w:tc>
          <w:tcPr>
            <w:tcW w:w="5435" w:type="dxa"/>
            <w:tcBorders/>
            <w:vAlign w:val="center"/>
          </w:tcPr>
          <w:p>
            <w:pPr>
              <w:pStyle w:val="TableContents"/>
              <w:bidi w:val="0"/>
              <w:spacing w:before="0" w:after="0"/>
              <w:jc w:val="left"/>
              <w:rPr/>
            </w:pPr>
            <w:r>
              <w:rPr/>
              <w:t>/s/ J.P. Morgan Securities LLC as agent and attorney-in-fact for Bliss Capital Ltd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3084</Characters>
  <CharactersWithSpaces>3641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